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default" w:cs="黑体" w:asciiTheme="majorEastAsia" w:hAnsiTheme="majorEastAsia" w:eastAsiaTheme="majorEastAsia"/>
          <w:b/>
          <w:sz w:val="44"/>
          <w:szCs w:val="44"/>
          <w:lang w:val="en"/>
        </w:rPr>
        <w:t>1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年度临汾市农业与社会发展领域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重点研发计划申报指南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cs="黑体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left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 xml:space="preserve">   </w:t>
      </w:r>
      <w:r>
        <w:rPr>
          <w:rFonts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</w:t>
      </w:r>
      <w:r>
        <w:rPr>
          <w:rFonts w:hint="default" w:ascii="仿宋" w:hAnsi="仿宋" w:eastAsia="仿宋" w:cs="仿宋"/>
          <w:color w:val="333333"/>
          <w:sz w:val="32"/>
          <w:szCs w:val="32"/>
          <w:lang w:val="e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年临汾市农业和社会发展领域，要以习近平新时代中国特色社会主义思想为指导，按照我省“四为四高两同步”总体思路和要求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市委“1343”工作思路，深入实施创新驱动发展战略和乡村振兴战略，以农业高新产业培育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社会发展等方面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技术研发，推进我市现代农业及社会发展。现将</w:t>
      </w:r>
      <w:r>
        <w:rPr>
          <w:rFonts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年度临汾市农业与社会发展领域重点研发计划申报指南发布如下：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一、</w:t>
      </w:r>
      <w:r>
        <w:rPr>
          <w:rFonts w:hint="eastAsia" w:ascii="黑体" w:hAnsi="黑体" w:eastAsia="黑体" w:cs="楷体"/>
          <w:bCs/>
          <w:sz w:val="32"/>
          <w:szCs w:val="32"/>
          <w:shd w:val="clear" w:color="auto" w:fill="FFFFFF"/>
        </w:rPr>
        <w:t>支持范围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472" w:firstLineChars="147"/>
        <w:textAlignment w:val="auto"/>
        <w:rPr>
          <w:rFonts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</w:pPr>
      <w:r>
        <w:rPr>
          <w:rFonts w:hint="eastAsia"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（一）农业</w:t>
      </w:r>
      <w:r>
        <w:rPr>
          <w:rFonts w:hint="eastAsia" w:cs="楷体" w:asciiTheme="majorEastAsia" w:hAnsiTheme="majorEastAsia" w:eastAsiaTheme="majorEastAsia"/>
          <w:b/>
          <w:bCs/>
          <w:sz w:val="32"/>
          <w:szCs w:val="32"/>
          <w:shd w:val="clear" w:color="auto" w:fill="FFFFFF"/>
          <w:lang w:eastAsia="zh-CN"/>
        </w:rPr>
        <w:t>技术</w:t>
      </w:r>
      <w:r>
        <w:rPr>
          <w:rFonts w:hint="eastAsia"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抗旱节水生化制剂开发与应用；有机旱作特色农业绿色栽培技术研发；有机旱作特色农业绿色生产关键技术研发；有机旱作农业技术集成示范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主要农作物配套栽培技术集成与示范；粮食作物节本增效与标准化栽培技术研究；花卉新品种培育与生产关键技术研究与应用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特色果蔬专用品种轻简化栽培技术示范；功能杂粮高产高效栽培与绿色防控技术示范；杂粮作物有机高效栽培技术集成示范，杂粮深加工技术研究及产品研发；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植物病虫害防治研究；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污染耕地安全利用与治理修复技术研究应用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优势特色农作物和畜禽良种联合攻关；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育种关键核心技术研发和新品种培育，小麦、玉米、杂粮、蔬菜、晋南牛、晋南驴等种质资源创新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菌种研发。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果品、饮品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十大产业集群农产品精深加工技术研发；特色农产品提质增效研究；农产品贮藏保鲜研究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畜禽规模化养殖高效生产与重大疫病防控等关键技术研究；主要畜禽规模化、标准化、现代低碳养殖技术研发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农业机械化新技术和新产品研发；智慧农机研发与应用；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设施农业智能化控制、远程监控技术；智慧农业科技孵化与示范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；家庭农场现代化、信息化等研究，“家庭农场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+互联网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”技术研发。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29" w:firstLineChars="196"/>
        <w:textAlignment w:val="auto"/>
        <w:rPr>
          <w:rFonts w:cs="黑体" w:asciiTheme="majorEastAsia" w:hAnsiTheme="majorEastAsia" w:eastAsiaTheme="majorEastAsia"/>
          <w:b/>
          <w:color w:val="000000"/>
          <w:kern w:val="0"/>
          <w:sz w:val="32"/>
          <w:szCs w:val="32"/>
        </w:rPr>
      </w:pPr>
      <w:r>
        <w:rPr>
          <w:rFonts w:hint="eastAsia"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（二）</w:t>
      </w:r>
      <w:r>
        <w:rPr>
          <w:rFonts w:hint="eastAsia" w:cs="黑体" w:asciiTheme="majorEastAsia" w:hAnsiTheme="majorEastAsia" w:eastAsiaTheme="majorEastAsia"/>
          <w:b/>
          <w:color w:val="000000"/>
          <w:kern w:val="0"/>
          <w:sz w:val="32"/>
          <w:szCs w:val="32"/>
        </w:rPr>
        <w:t>社会发展</w:t>
      </w:r>
      <w:r>
        <w:rPr>
          <w:rFonts w:hint="eastAsia" w:cs="黑体" w:asciiTheme="majorEastAsia" w:hAnsiTheme="majorEastAsia" w:eastAsiaTheme="majorEastAsia"/>
          <w:b/>
          <w:color w:val="000000"/>
          <w:kern w:val="0"/>
          <w:sz w:val="32"/>
          <w:szCs w:val="32"/>
          <w:lang w:eastAsia="zh-CN"/>
        </w:rPr>
        <w:t>技术</w:t>
      </w:r>
      <w:r>
        <w:rPr>
          <w:rFonts w:hint="eastAsia" w:cs="黑体" w:asciiTheme="majorEastAsia" w:hAnsiTheme="majorEastAsia" w:eastAsiaTheme="majorEastAsia"/>
          <w:b/>
          <w:color w:val="000000"/>
          <w:kern w:val="0"/>
          <w:sz w:val="32"/>
          <w:szCs w:val="32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2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1.生态环境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2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（1）水污染防治。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汾河流域水环境综合治理技术集成研究;特殊工业废水处理新工艺、新技术研发；城市生活污水深度脱氮工艺技术研究、垃圾渗滤液废水处理关键技术研究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2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（2）大气污染防治。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重点区域大气重污染成因与区域大气环境管控技术研究；焦化、煤化工、冶金等重点行业大气污染物治理关键技术研究；焦化行业挥发性有机物污染管控技术研究;城市大气降尘污染特征与管控技术研究、散煤清洁燃烧关键技术研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；低碳技术与产品研发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2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（3）土壤污染防治。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土壤污染风险管控、治理与修复技术研究。大宗工业固体废物填埋污染管控技术、典型工业污染场地治理修复技术、工业窑炉协同处置固体废物关键技术研究;面源污染关键技术研究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2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（4）生态修复与治理。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汾河流域生态修复技术研发;典型矿区生态修复技术研究;汾河流域生态调水与水环境治理协同调控技术研究。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2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）其它。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绿色快递包装、可降解材料技术研发与应用；可循环、易回收、可降解替代塑料材料和产品研发；废弃塑料制品分离、回收和可再生技术研究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人工影响天气研发；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节水技术与工艺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创新，水资源高效循环利用、精准节水灌溉控制、管网漏损监测智能化、非常规永源利用等先进技术及设备研发；化学品环境与健康风险防控技术研发；生物安全与生物多样性保护；噪声污染防治技术研究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2" w:firstLineChars="200"/>
        <w:textAlignment w:val="auto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2、临床医学、旅游发展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</w:rPr>
        <w:t>、食品安全、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公共安全等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42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生物制品、中药现代化、功能性食品研发等关键核心技术研发；中药产业关键技术研究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、药食同源产品和保健食品开发、经典名方、中药新药研发、中药制剂和中药饮片炮制规范研发等中药科技创新相关研究；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重大疑难病症、急重危难症新技术的引进及临床转化应用；中西医结合诊疗关键技术研究；常见病、多发病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重大疾病及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传染病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预防、诊断和治疗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研究；残疾预防、健康养老养生、心理健康、艾滋病、职业病、结核病、地方病、疫苗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研发与管控、药物研发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等技术研究;新生儿出生缺陷的预防与干预新技术研发与应用；儿童青少年近视防控信息系统开发利用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提升旅游产业的技术含量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服务水平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和文化内涵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相关技术研究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食品安全监测、检验等技术研发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地震、气象灾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害、森林火灾、危险化学品安全、特种设备安全、交通安全、重污染天气、有毒有害气体泄漏等监测预警关键技术研发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；智慧城市建设、城市治理创新。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二、申报要求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、申报单位为在我市境内注册，具有独立法人资格且无不良信用记录的企事业单位；须具备较强的科研能力、必要的研发条件和较强的产业化能力。企业申报须提供上一年度财务报表。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" w:eastAsia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、项目负责人具有较高的专业技术水平和开拓创新意识、较强的组织协调能力和良好的信誉，有与项目相关的工作经历。项目负责人须具有中级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以上技术职称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鼓励以企业为主体申报，产学研合作共同申报。项目的组织实施应聚焦研发创新，强化重大瓶颈技术突破、共性关键技术研发等各项任务间的统筹衔接，注重知识产权创造、人才培养、科技平台建设，集中力量，联合攻关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黑体" w:hAnsi="黑体" w:eastAsia="黑体" w:cs="仿宋"/>
          <w:color w:val="333333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333333"/>
          <w:sz w:val="32"/>
          <w:szCs w:val="32"/>
          <w:lang w:val="en" w:eastAsia="zh-CN"/>
        </w:rPr>
        <w:t>三、申报材料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1、《临汾市重点研发计划项目申报书》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2、项目可行性研究报告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3、查新报告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营业执照（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或事业单位法人证书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、相关行业资质证明材料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项目负责人在职在岗和职称证明材料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、项目合作协议（有产学研合作的项目应提供）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7、项目配套资金证明材料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相匹配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技术装备、管理制度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等证明材料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度财务中介机构出具的财务报告（项目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单位不是企业的，无需提供）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、与项目相关的其他证明材料或文件等。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"/>
          <w:color w:val="333333"/>
          <w:sz w:val="32"/>
          <w:szCs w:val="32"/>
        </w:rPr>
        <w:t>、联系人及联系方式：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left="2238" w:leftChars="304" w:hanging="1600" w:hangingChars="5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临汾市科技局农社科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left="2238" w:leftChars="304" w:hanging="1600" w:hangingChars="5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乔宝恒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乔洁婷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联系方式：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0357-2100981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F9"/>
    <w:rsid w:val="00036C21"/>
    <w:rsid w:val="00081239"/>
    <w:rsid w:val="00095231"/>
    <w:rsid w:val="000E6A4D"/>
    <w:rsid w:val="00192ADE"/>
    <w:rsid w:val="00193F78"/>
    <w:rsid w:val="0019765C"/>
    <w:rsid w:val="001A5B2F"/>
    <w:rsid w:val="0021508C"/>
    <w:rsid w:val="0022429D"/>
    <w:rsid w:val="0028354A"/>
    <w:rsid w:val="00290282"/>
    <w:rsid w:val="002B43AE"/>
    <w:rsid w:val="002D6A2F"/>
    <w:rsid w:val="00314852"/>
    <w:rsid w:val="00321554"/>
    <w:rsid w:val="003255BA"/>
    <w:rsid w:val="00362021"/>
    <w:rsid w:val="0036695C"/>
    <w:rsid w:val="00366E8C"/>
    <w:rsid w:val="00375957"/>
    <w:rsid w:val="003A1C8A"/>
    <w:rsid w:val="003A5150"/>
    <w:rsid w:val="003C21EB"/>
    <w:rsid w:val="003D0765"/>
    <w:rsid w:val="00435CAA"/>
    <w:rsid w:val="0044517A"/>
    <w:rsid w:val="00457E51"/>
    <w:rsid w:val="00457F48"/>
    <w:rsid w:val="00465448"/>
    <w:rsid w:val="00496655"/>
    <w:rsid w:val="004B386B"/>
    <w:rsid w:val="004C0322"/>
    <w:rsid w:val="004D2D86"/>
    <w:rsid w:val="004E4500"/>
    <w:rsid w:val="004E696F"/>
    <w:rsid w:val="005322B7"/>
    <w:rsid w:val="0054295F"/>
    <w:rsid w:val="0055086A"/>
    <w:rsid w:val="00557D2E"/>
    <w:rsid w:val="00597321"/>
    <w:rsid w:val="005B0A54"/>
    <w:rsid w:val="005F31AF"/>
    <w:rsid w:val="00620066"/>
    <w:rsid w:val="00640783"/>
    <w:rsid w:val="00670344"/>
    <w:rsid w:val="006765A8"/>
    <w:rsid w:val="00681620"/>
    <w:rsid w:val="006D6000"/>
    <w:rsid w:val="00727439"/>
    <w:rsid w:val="007301BA"/>
    <w:rsid w:val="00760E19"/>
    <w:rsid w:val="00761B39"/>
    <w:rsid w:val="007937C9"/>
    <w:rsid w:val="00794D67"/>
    <w:rsid w:val="007D1740"/>
    <w:rsid w:val="007F740C"/>
    <w:rsid w:val="008165BE"/>
    <w:rsid w:val="008565F3"/>
    <w:rsid w:val="00886124"/>
    <w:rsid w:val="00897D0A"/>
    <w:rsid w:val="008F6568"/>
    <w:rsid w:val="0091308F"/>
    <w:rsid w:val="00972813"/>
    <w:rsid w:val="009729ED"/>
    <w:rsid w:val="00986CDE"/>
    <w:rsid w:val="009A79BA"/>
    <w:rsid w:val="009D7D9D"/>
    <w:rsid w:val="009E39F6"/>
    <w:rsid w:val="00A307C8"/>
    <w:rsid w:val="00A62B4C"/>
    <w:rsid w:val="00A85B5E"/>
    <w:rsid w:val="00AD0C70"/>
    <w:rsid w:val="00AD715E"/>
    <w:rsid w:val="00B10008"/>
    <w:rsid w:val="00B10FD7"/>
    <w:rsid w:val="00B37065"/>
    <w:rsid w:val="00B50D01"/>
    <w:rsid w:val="00B52939"/>
    <w:rsid w:val="00B53CD8"/>
    <w:rsid w:val="00B7495C"/>
    <w:rsid w:val="00B8565E"/>
    <w:rsid w:val="00B958C0"/>
    <w:rsid w:val="00BA119B"/>
    <w:rsid w:val="00BB4DA6"/>
    <w:rsid w:val="00BC0CED"/>
    <w:rsid w:val="00BD161D"/>
    <w:rsid w:val="00C34AF5"/>
    <w:rsid w:val="00C34BAE"/>
    <w:rsid w:val="00C664CF"/>
    <w:rsid w:val="00D02C8F"/>
    <w:rsid w:val="00D13910"/>
    <w:rsid w:val="00D40D8E"/>
    <w:rsid w:val="00D421F9"/>
    <w:rsid w:val="00D6496A"/>
    <w:rsid w:val="00D9334C"/>
    <w:rsid w:val="00DA6BDA"/>
    <w:rsid w:val="00DB0AEF"/>
    <w:rsid w:val="00DF363F"/>
    <w:rsid w:val="00E1281C"/>
    <w:rsid w:val="00E27B8E"/>
    <w:rsid w:val="00E60CD9"/>
    <w:rsid w:val="00E6596D"/>
    <w:rsid w:val="00E8145D"/>
    <w:rsid w:val="00E97042"/>
    <w:rsid w:val="00EA0177"/>
    <w:rsid w:val="00EA0EB2"/>
    <w:rsid w:val="00EA55E1"/>
    <w:rsid w:val="00F17841"/>
    <w:rsid w:val="00F309B7"/>
    <w:rsid w:val="00F43D81"/>
    <w:rsid w:val="00F50467"/>
    <w:rsid w:val="00F5554D"/>
    <w:rsid w:val="00FA1014"/>
    <w:rsid w:val="00FA15CC"/>
    <w:rsid w:val="00FA7EC5"/>
    <w:rsid w:val="00FB6753"/>
    <w:rsid w:val="00FE2D75"/>
    <w:rsid w:val="00FF1FAE"/>
    <w:rsid w:val="074D0D3F"/>
    <w:rsid w:val="16FF301F"/>
    <w:rsid w:val="178F33CE"/>
    <w:rsid w:val="1C7538B5"/>
    <w:rsid w:val="1DFD24CE"/>
    <w:rsid w:val="1F973ED0"/>
    <w:rsid w:val="33DFE0A9"/>
    <w:rsid w:val="37FE992A"/>
    <w:rsid w:val="3B1B329F"/>
    <w:rsid w:val="3B7B1109"/>
    <w:rsid w:val="3D991994"/>
    <w:rsid w:val="3F3FE948"/>
    <w:rsid w:val="3FECE462"/>
    <w:rsid w:val="3FFE8D1A"/>
    <w:rsid w:val="4F77E94B"/>
    <w:rsid w:val="517B8C08"/>
    <w:rsid w:val="5DBABC1D"/>
    <w:rsid w:val="5E7D0824"/>
    <w:rsid w:val="5FFB7C33"/>
    <w:rsid w:val="605E59DD"/>
    <w:rsid w:val="61DCEB7D"/>
    <w:rsid w:val="637ED305"/>
    <w:rsid w:val="672FCDD6"/>
    <w:rsid w:val="6AA765BF"/>
    <w:rsid w:val="6BFB4A76"/>
    <w:rsid w:val="6BFF3D73"/>
    <w:rsid w:val="6EBF2A08"/>
    <w:rsid w:val="6EED3916"/>
    <w:rsid w:val="6F012DAA"/>
    <w:rsid w:val="705EA89D"/>
    <w:rsid w:val="714F8F56"/>
    <w:rsid w:val="73DFE40E"/>
    <w:rsid w:val="746A03CF"/>
    <w:rsid w:val="76EF4BA7"/>
    <w:rsid w:val="77BFC1FD"/>
    <w:rsid w:val="7BFB40EF"/>
    <w:rsid w:val="7CFEDA84"/>
    <w:rsid w:val="7CFF7D45"/>
    <w:rsid w:val="7D7B171C"/>
    <w:rsid w:val="7DBE2E2A"/>
    <w:rsid w:val="7F4D4BC6"/>
    <w:rsid w:val="7F56F7E6"/>
    <w:rsid w:val="7FEF7952"/>
    <w:rsid w:val="7FF6B39E"/>
    <w:rsid w:val="7FF723E0"/>
    <w:rsid w:val="7FFD6E53"/>
    <w:rsid w:val="8B7FC77B"/>
    <w:rsid w:val="9DB696FA"/>
    <w:rsid w:val="9FFFEA8B"/>
    <w:rsid w:val="A3FF95B8"/>
    <w:rsid w:val="A3FFAE4A"/>
    <w:rsid w:val="A75FC7A7"/>
    <w:rsid w:val="AFEFBCE7"/>
    <w:rsid w:val="BEEF2F72"/>
    <w:rsid w:val="BEFB4C58"/>
    <w:rsid w:val="BFEE835F"/>
    <w:rsid w:val="BFFB27FF"/>
    <w:rsid w:val="C7BB278D"/>
    <w:rsid w:val="D5D51FC8"/>
    <w:rsid w:val="D72F5F49"/>
    <w:rsid w:val="D7FE20D9"/>
    <w:rsid w:val="DDBFE9BD"/>
    <w:rsid w:val="DE97C480"/>
    <w:rsid w:val="DFB774FE"/>
    <w:rsid w:val="DFD28BA0"/>
    <w:rsid w:val="DFEB47DC"/>
    <w:rsid w:val="DFEBE4AE"/>
    <w:rsid w:val="E5BB4B67"/>
    <w:rsid w:val="E7FFF872"/>
    <w:rsid w:val="ECDC2E28"/>
    <w:rsid w:val="EEFD9B6B"/>
    <w:rsid w:val="EF71F1B1"/>
    <w:rsid w:val="EFF07AAE"/>
    <w:rsid w:val="EFFDE060"/>
    <w:rsid w:val="F67AAF9E"/>
    <w:rsid w:val="F7CF54D9"/>
    <w:rsid w:val="F9B784CC"/>
    <w:rsid w:val="FBAD9610"/>
    <w:rsid w:val="FBD9A331"/>
    <w:rsid w:val="FBFB9B0E"/>
    <w:rsid w:val="FCC63741"/>
    <w:rsid w:val="FD7F6724"/>
    <w:rsid w:val="FDBCFBE2"/>
    <w:rsid w:val="FDDE9E67"/>
    <w:rsid w:val="FE7E7CDD"/>
    <w:rsid w:val="FE7FF179"/>
    <w:rsid w:val="FEAFB9BC"/>
    <w:rsid w:val="FEB7CF7C"/>
    <w:rsid w:val="FFBD976F"/>
    <w:rsid w:val="FFBFDF37"/>
    <w:rsid w:val="FFBFFAFA"/>
    <w:rsid w:val="FFDA97B9"/>
    <w:rsid w:val="FFE9F3A0"/>
    <w:rsid w:val="FFF72105"/>
    <w:rsid w:val="FFF79F53"/>
    <w:rsid w:val="FFFA1518"/>
    <w:rsid w:val="FFFB2965"/>
    <w:rsid w:val="FFFEF568"/>
    <w:rsid w:val="FF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1970</Words>
  <Characters>91</Characters>
  <Lines>1</Lines>
  <Paragraphs>4</Paragraphs>
  <TotalTime>401</TotalTime>
  <ScaleCrop>false</ScaleCrop>
  <LinksUpToDate>false</LinksUpToDate>
  <CharactersWithSpaces>2057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hp</dc:creator>
  <cp:lastModifiedBy>user</cp:lastModifiedBy>
  <cp:lastPrinted>2021-04-28T17:15:30Z</cp:lastPrinted>
  <dcterms:modified xsi:type="dcterms:W3CDTF">2021-04-28T17:17:53Z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