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28"/>
          <w:szCs w:val="32"/>
        </w:rPr>
      </w:pPr>
      <w:r>
        <w:rPr>
          <w:rFonts w:hint="eastAsia" w:ascii="黑体" w:hAnsi="黑体" w:eastAsia="黑体" w:cs="方正小标宋简体"/>
          <w:sz w:val="28"/>
          <w:szCs w:val="32"/>
        </w:rPr>
        <w:t>附1：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山西省中小微企业股改奖励资金申请报告</w:t>
      </w:r>
    </w:p>
    <w:bookmarkEnd w:id="0"/>
    <w:tbl>
      <w:tblPr>
        <w:tblStyle w:val="7"/>
        <w:tblpPr w:leftFromText="180" w:rightFromText="180" w:vertAnchor="text" w:horzAnchor="page" w:tblpX="1477" w:tblpY="115"/>
        <w:tblOverlap w:val="never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05"/>
        <w:gridCol w:w="1462"/>
        <w:gridCol w:w="338"/>
        <w:gridCol w:w="960"/>
        <w:gridCol w:w="840"/>
        <w:gridCol w:w="947"/>
        <w:gridCol w:w="853"/>
        <w:gridCol w:w="2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企业基本情况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所属行业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注册地址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注册资本（万元）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开始股改时间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完成股改时间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企业性质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企业划型情况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企业经营状况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主要指标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D-3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D-2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D-1年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Style w:val="6"/>
                <w:rFonts w:hint="eastAsia"/>
                <w:sz w:val="21"/>
                <w:lang w:eastAsia="zh-CN"/>
              </w:rPr>
              <w:t>（</w:t>
            </w:r>
            <w:r>
              <w:rPr>
                <w:rStyle w:val="6"/>
                <w:rFonts w:hint="eastAsia"/>
                <w:sz w:val="21"/>
                <w:lang w:val="en-US" w:eastAsia="zh-CN"/>
              </w:rPr>
              <w:t>1-X月</w:t>
            </w:r>
            <w:r>
              <w:rPr>
                <w:rStyle w:val="6"/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从业人员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当年上交税金（万元）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净利润     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县级中小企业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主管部门意见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市级中小企业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主管部门意见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省级评审意见</w:t>
            </w:r>
          </w:p>
        </w:tc>
        <w:tc>
          <w:tcPr>
            <w:tcW w:w="72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 w:rightChars="0"/>
        <w:textAlignment w:val="auto"/>
        <w:outlineLvl w:val="9"/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</w:pPr>
      <w:r>
        <w:rPr>
          <w:rFonts w:hint="eastAsia" w:ascii="宋体" w:hAnsi="宋体" w:eastAsia="宋体" w:cs="仿宋_GB2312"/>
          <w:b/>
          <w:bCs/>
          <w:i w:val="0"/>
          <w:iCs w:val="0"/>
          <w:kern w:val="2"/>
          <w:sz w:val="18"/>
          <w:szCs w:val="21"/>
        </w:rPr>
        <w:t>注: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>1、企业性质按照民营、国有、国有控股三类填写；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 w:rightChars="0"/>
        <w:textAlignment w:val="auto"/>
        <w:outlineLvl w:val="9"/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</w:pP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 xml:space="preserve"> 2、企业划型情况以股改完成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前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 xml:space="preserve">的情况填写，如在年中完成股改，以上年年底情况填写。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 w:rightChars="0"/>
        <w:textAlignment w:val="auto"/>
        <w:outlineLvl w:val="9"/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</w:pP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 xml:space="preserve">   3、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主要指标中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D年为申报的基准年度，如企业于2020年完成股改并申报当年的奖励资金，则2020年为基准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 w:rightChars="0"/>
        <w:textAlignment w:val="auto"/>
        <w:outlineLvl w:val="9"/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</w:pPr>
      <w:r>
        <w:rPr>
          <w:rFonts w:hint="eastAsia" w:cs="仿宋_GB2312"/>
          <w:i w:val="0"/>
          <w:iCs w:val="0"/>
          <w:kern w:val="2"/>
          <w:sz w:val="18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年度（D年）；D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>年1-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X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>月（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X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为股改基准日前一月，且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X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</w:rPr>
        <w:t>大于等于3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，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val="en-US" w:eastAsia="zh-CN"/>
        </w:rPr>
        <w:t>X小于3可不填报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）的数据按照财务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 w:rightChars="0"/>
        <w:textAlignment w:val="auto"/>
        <w:outlineLvl w:val="9"/>
        <w:rPr>
          <w:rFonts w:hint="eastAsia" w:ascii="宋体" w:hAnsi="宋体" w:eastAsia="宋体"/>
          <w:sz w:val="18"/>
        </w:rPr>
      </w:pPr>
      <w:r>
        <w:rPr>
          <w:rFonts w:hint="eastAsia" w:cs="仿宋_GB2312"/>
          <w:i w:val="0"/>
          <w:iCs w:val="0"/>
          <w:kern w:val="2"/>
          <w:sz w:val="18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仿宋_GB2312"/>
          <w:i w:val="0"/>
          <w:iCs w:val="0"/>
          <w:kern w:val="2"/>
          <w:sz w:val="18"/>
          <w:szCs w:val="21"/>
          <w:lang w:eastAsia="zh-CN"/>
        </w:rPr>
        <w:t>月报累计填写。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/>
          <w:sz w:val="18"/>
        </w:rPr>
        <w:sectPr>
          <w:headerReference r:id="rId3" w:type="default"/>
          <w:footerReference r:id="rId4" w:type="default"/>
          <w:pgSz w:w="11906" w:h="16838"/>
          <w:pgMar w:top="1984" w:right="1474" w:bottom="1871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3F3F"/>
    <w:rsid w:val="1595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character" w:styleId="6">
    <w:name w:val="annotation reference"/>
    <w:uiPriority w:val="0"/>
    <w:rPr>
      <w:sz w:val="21"/>
      <w:szCs w:val="21"/>
    </w:rPr>
  </w:style>
  <w:style w:type="paragraph" w:customStyle="1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2020-03-19T07:13:00Z</dcterms:created>
  <dc:creator>Administrator</dc:creator>
  <cp:lastModifiedBy>Administrator</cp:lastModifiedBy>
  <dcterms:modified xsi:type="dcterms:W3CDTF">2020-03-19T07:13:35Z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