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cs="Times New Roman"/>
          <w:color w:val="auto"/>
        </w:rPr>
      </w:pPr>
    </w:p>
    <w:p>
      <w:pPr>
        <w:pStyle w:val="2"/>
        <w:ind w:firstLine="0" w:firstLineChars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附件2</w:t>
      </w:r>
    </w:p>
    <w:p>
      <w:pPr>
        <w:pStyle w:val="8"/>
        <w:ind w:firstLine="0" w:firstLineChars="0"/>
        <w:rPr>
          <w:rFonts w:ascii="Times New Roman" w:cs="Times New Roman"/>
          <w:color w:val="auto"/>
        </w:rPr>
      </w:pPr>
      <w:bookmarkStart w:id="0" w:name="_GoBack"/>
      <w:r>
        <w:rPr>
          <w:rFonts w:ascii="Times New Roman" w:cs="Times New Roman"/>
          <w:color w:val="auto"/>
        </w:rPr>
        <w:t>产业集群发展专项申报范围</w:t>
      </w:r>
    </w:p>
    <w:bookmarkEnd w:id="0"/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  <w:r>
        <w:rPr>
          <w:color w:val="auto"/>
        </w:rPr>
        <w:t>企业申报产业集群发展专项项目，须属于《山西省企业技术改造指导目录（2019年本）》（晋工信投资字〔2019〕38号）规定的产业集群范围内</w:t>
      </w:r>
      <w:r>
        <w:rPr>
          <w:rFonts w:hint="eastAsia"/>
          <w:color w:val="auto"/>
        </w:rPr>
        <w:t>，具体申报范围见</w:t>
      </w:r>
      <w:r>
        <w:rPr>
          <w:color w:val="auto"/>
        </w:rPr>
        <w:t>下表：</w:t>
      </w:r>
    </w:p>
    <w:tbl>
      <w:tblPr>
        <w:tblStyle w:val="7"/>
        <w:tblW w:w="8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29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 w:cs="Times New Roman"/>
                <w:color w:val="auto"/>
                <w:kern w:val="0"/>
                <w:sz w:val="24"/>
                <w:szCs w:val="24"/>
              </w:rPr>
              <w:t>产业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 w:cs="Times New Roman"/>
                <w:color w:val="auto"/>
                <w:kern w:val="0"/>
                <w:sz w:val="24"/>
                <w:szCs w:val="24"/>
              </w:rPr>
              <w:t>产业集群范围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7" w:type="dxa"/>
            <w:gridSpan w:val="3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 w:cs="Times New Roman"/>
                <w:color w:val="auto"/>
                <w:kern w:val="0"/>
                <w:sz w:val="24"/>
                <w:szCs w:val="24"/>
              </w:rPr>
              <w:t>传统产业集群提质改造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029" w:type="dxa"/>
            <w:vMerge w:val="restart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冶金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太原特殊钢产业集群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运城、吕梁铝镁产业集群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焦化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吕梁孝义、晋中介休-灵石、长治潞城-襄垣、临汾安泽、运城河津-新绛焦化产业集群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029" w:type="dxa"/>
            <w:vMerge w:val="restart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消费品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吕梁白酒产业集群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太原醋产业集群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朔州日用陶瓷产业集群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7" w:type="dxa"/>
            <w:gridSpan w:val="3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 w:cs="Times New Roman"/>
                <w:color w:val="auto"/>
                <w:kern w:val="0"/>
                <w:sz w:val="24"/>
                <w:szCs w:val="24"/>
              </w:rPr>
              <w:t>新兴产业集群培育壮大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029" w:type="dxa"/>
            <w:vMerge w:val="restart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高端装备</w:t>
            </w:r>
          </w:p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产业集群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太原、临汾煤机装备产业集群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spacing w:line="440" w:lineRule="exact"/>
              <w:ind w:firstLine="482"/>
              <w:jc w:val="left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晋中、忻州液压产业集群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太原、大同、运城轨道交通装备产业集群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029" w:type="dxa"/>
            <w:vMerge w:val="restart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新能源汽车</w:t>
            </w:r>
          </w:p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产业集群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晋中、长治新能源汽车产业集群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运城新能源汽车产业集群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节能环保</w:t>
            </w:r>
          </w:p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产业集群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朔州资源循环及固废综合利用产业集群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029" w:type="dxa"/>
            <w:vMerge w:val="restart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新一代信息技术产业集群　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太原、晋中电子信息产业集群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spacing w:line="440" w:lineRule="exact"/>
              <w:ind w:firstLine="482"/>
              <w:jc w:val="left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长治、晋城电子信息产业集群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太原软件产业集群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 w:cs="Times New Roman"/>
                <w:color w:val="auto"/>
                <w:kern w:val="0"/>
                <w:sz w:val="24"/>
                <w:szCs w:val="24"/>
              </w:rPr>
              <w:t>产业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 w:cs="Times New Roman"/>
                <w:color w:val="auto"/>
                <w:kern w:val="0"/>
                <w:sz w:val="24"/>
                <w:szCs w:val="24"/>
              </w:rPr>
              <w:t>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029" w:type="dxa"/>
            <w:vMerge w:val="restart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新材料产业集群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太原特殊钢产业集群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忻州、朔州无机非金属材料产业集群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运城、吕梁铝镁产业集群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太原、运城钕铁硼磁性材料产业集群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太原、晋城、运城化工新材料产业集群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029" w:type="dxa"/>
            <w:vMerge w:val="restart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现代医药</w:t>
            </w:r>
          </w:p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产业集群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大同原料药及制剂产业集群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spacing w:line="440" w:lineRule="exact"/>
              <w:ind w:firstLine="482"/>
              <w:jc w:val="left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晋中中成药产业集群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长治、运城新特药产业集群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029" w:type="dxa"/>
            <w:vMerge w:val="restart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现代煤化工</w:t>
            </w:r>
          </w:p>
          <w:p>
            <w:pPr>
              <w:widowControl/>
              <w:spacing w:line="440" w:lineRule="exact"/>
              <w:ind w:firstLine="0" w:firstLineChars="0"/>
              <w:jc w:val="center"/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  <w:t>产业集群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长治、晋城现代煤化工产业集群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大同、阳泉现代煤化工产业集群</w:t>
            </w:r>
          </w:p>
        </w:tc>
      </w:tr>
    </w:tbl>
    <w:p>
      <w:pPr>
        <w:pStyle w:val="9"/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9"/>
        <w:rPr>
          <w:color w:val="auto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304" w:gutter="0"/>
          <w:pgNumType w:fmt="numberInDash"/>
          <w:cols w:space="720" w:num="1"/>
          <w:docGrid w:type="lines" w:linePitch="316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ind w:firstLine="560"/>
      <w:rPr>
        <w:rFonts w:ascii="宋体" w:hAnsi="宋体"/>
        <w:sz w:val="28"/>
      </w:rPr>
    </w:pPr>
    <w:r>
      <w:rPr>
        <w:rFonts w:hint="eastAsia" w:ascii="宋体" w:hAnsi="宋体"/>
        <w:sz w:val="28"/>
      </w:rPr>
      <w:fldChar w:fldCharType="begin"/>
    </w:r>
    <w:r>
      <w:rPr>
        <w:rStyle w:val="6"/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- 13 -</w:t>
    </w:r>
    <w:r>
      <w:rPr>
        <w:rFonts w:hint="eastAsia" w:ascii="宋体" w:hAnsi="宋体"/>
        <w:sz w:val="28"/>
      </w:rPr>
      <w:fldChar w:fldCharType="end"/>
    </w:r>
  </w:p>
  <w:p>
    <w:pPr>
      <w:pStyle w:val="3"/>
      <w:ind w:right="360" w:firstLine="360"/>
    </w:pPr>
    <w:r>
      <w:rPr>
        <w:rFonts w:hint="eastAsia" w:ascii="宋体" w:hAnsi="宋体"/>
      </w:rPr>
      <w:t xml:space="preserve">  </w:t>
    </w:r>
    <w:r>
      <w:rPr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D33C3"/>
    <w:rsid w:val="75B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2" w:firstLineChars="20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黑体" w:hAnsi="宋体" w:eastAsia="黑体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8">
    <w:name w:val="题目（公文）"/>
    <w:basedOn w:val="1"/>
    <w:qFormat/>
    <w:uiPriority w:val="0"/>
    <w:pPr>
      <w:jc w:val="center"/>
    </w:pPr>
    <w:rPr>
      <w:rFonts w:ascii="方正小标宋_GBK" w:eastAsia="方正小标宋_GBK"/>
      <w:sz w:val="40"/>
    </w:rPr>
  </w:style>
  <w:style w:type="paragraph" w:customStyle="1" w:styleId="9">
    <w:name w:val="正文（公文）"/>
    <w:basedOn w:val="1"/>
    <w:qFormat/>
    <w:uiPriority w:val="0"/>
    <w:pPr>
      <w:ind w:firstLine="64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2020-12-31T05:06:00Z</dcterms:created>
  <dc:creator>闫晓杰</dc:creator>
  <cp:lastModifiedBy>闫晓杰</cp:lastModifiedBy>
  <dcterms:modified xsi:type="dcterms:W3CDTF">2020-12-31T05:06:45Z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