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both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sz w:val="44"/>
          <w:szCs w:val="21"/>
        </w:rPr>
      </w:pPr>
      <w:r>
        <w:rPr>
          <w:rStyle w:val="7"/>
          <w:rFonts w:hint="default" w:ascii="Times New Roman" w:hAnsi="Times New Roman" w:eastAsia="方正小标宋简体" w:cs="Times New Roman"/>
          <w:sz w:val="44"/>
          <w:szCs w:val="21"/>
        </w:rPr>
        <w:t>202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21"/>
          <w:lang w:val="en-US" w:eastAsia="zh-CN"/>
        </w:rPr>
        <w:t>2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21"/>
        </w:rPr>
        <w:t>年度忻州市重点研发计划（高新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sz w:val="44"/>
          <w:szCs w:val="21"/>
        </w:rPr>
      </w:pPr>
      <w:r>
        <w:rPr>
          <w:rStyle w:val="7"/>
          <w:rFonts w:hint="default" w:ascii="Times New Roman" w:hAnsi="Times New Roman" w:eastAsia="方正小标宋简体" w:cs="Times New Roman"/>
          <w:sz w:val="44"/>
          <w:szCs w:val="21"/>
        </w:rPr>
        <w:t>技术领域）项目申报指南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高新技术领域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主要围绕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太忻一体化经济区建设和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我市八大标志性引领性产业集群等重点领域，面向科技前沿和我市重大战略需求，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关键核心技术、共性技术的引进、研发与应用，促进重大技术迭代创新，提高装备制造智能化、数字化水平，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提升产业基础能力和产业现代化水平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，培育发展战略性新兴产业，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为我市高质量发展提供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有力支撑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</w:rPr>
        <w:t>一、支持领域和方向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1、半导体领域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。支持微波功率放大器芯片制造、砷化镓晶体材料、图形化蓝宝石衬底制造技术研发，打造铝土矿—氧化铝—高纯镓—砷化镓等高纯半导体材料产业链。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2、大数据领域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。支持工业互联网建设，增强5G、人工智能、区块链、现实/虚拟现实等新技术支撑能力。支持能源互联网架构、多源信息采集与感知、区块链等关键核心技术研发。支持基于大数据的系统架构研究与应用。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3、光电领域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。支持先进晶硅电池、光伏一体化构件和材料、智能逆变系统研发，开发功率型和容量型新能源关键产品。支持高效光伏组件、太阳能集成应用技术创新，提高光电转换效率。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4、新能源领域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高端法兰智能化生产工艺关键技术研发，支持高塔桶、长叶片、智能叶片、风电机组和海上风电等领域关键技术研发，支持锂离子电池储能、分布式能源、智能微网等领域关键技术研发。支持太阳能、风能、生物质能等可再生能源利用技术研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5、特种金属材料领域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。支持高端冷轧取向硅钢、高强高韧合金材料、高端精深加工延伸等关键技术研发，强化稀土、钨钼、钒钛等特色资源高质化利用。支持镁铝合金、镍铬合金等新材料的研发与应用。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6、煤机智能制造领域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。支持大功率采煤机、输送机、液压油缸、支撑件、密封件等产品技术研发，促进煤矿机械向大型化、智能化方向发展。支持煤炭高效清洁开发与利用、现代煤化工技术研发。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7、节能环保领域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。支持工业锅炉清洁燃料、洁净燃烧技术研发。支持节能型变压器、特大功率高压变频、高效换热器、余热余压利用等技术研发。支持煤矸石、尾矿、冶金渣、化工渣、赤泥、脱硫石膏等工业废弃物综合利用。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华文楷体" w:cs="Times New Roman"/>
          <w:sz w:val="32"/>
          <w:szCs w:val="32"/>
        </w:rPr>
        <w:t>8、其它国家重点支持的高新技术领域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</w:rPr>
        <w:t>二、申报条件及要求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1、项目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单位应是有效期内的高新技术企业、培育库入库企业、民营科技企业或科技型中小企业。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项目申报单位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应具有开展科研活动的基础，有与项目实施相匹配的人才和技术装备等条件，有研发经费投入、健全的科研管理制度和财务管理制度。优先支持依托省、市级科技创新平台开展研发的项目。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3、项目负责人应具有与项目内容相匹配的专业技能。同一项目负责人在研项目和申报项目不得超过两项。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4、项目处于实施或准备实施阶段，实施期限不超过3年。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5、项目申报单位须科研诚信记录良好，对承担科技计划项目逾期未验收的单位不予支持。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6、项目可行性研究报告要明确以下内容：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（1）项目提出的背景、技术开发状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况、现有产业规模；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（2）项目实施的主要内容：包括项目规模、分阶段年度目标、项目完成预期目标等；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（3）技术可行性分析：包括技术路线、技术的合理性和成熟性，项目承担单位在实施本项目中的优势；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（4）项目投资预算：包括申请资金与自筹资金的具体来源和使用计划；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（5）经济和社会效益分析。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三、申报材料要求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忻州市科技计划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项目申报书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（系统生成）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项目可行性研究报告；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3、营业执照及科技型企业证明；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106" w:rightChars="0"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  <w:t>项目负责</w:t>
      </w: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人专业技能证书或其它能反映项目负责人科研能力的相关材料，以及本单位任职或聘用证明；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5、上年度财务报表；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6、有合作单位的，提供合作协议；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前期研究成果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及相关业绩；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8、科研和财务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  <w:lang w:eastAsia="zh-CN"/>
        </w:rPr>
        <w:t>管理制度；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9、其它认证、奖励、荣誉等证明材料。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</w:rPr>
        <w:t>、联系</w:t>
      </w:r>
      <w:r>
        <w:rPr>
          <w:rStyle w:val="7"/>
          <w:rFonts w:hint="eastAsia" w:ascii="Times New Roman" w:hAnsi="Times New Roman" w:eastAsia="黑体" w:cs="Times New Roman"/>
          <w:sz w:val="32"/>
          <w:szCs w:val="32"/>
          <w:lang w:eastAsia="zh-CN"/>
        </w:rPr>
        <w:t>人及联系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sz w:val="32"/>
          <w:szCs w:val="32"/>
          <w:lang w:eastAsia="zh-CN"/>
        </w:rPr>
        <w:t>业务科室：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市科技局高新技术与交流合作科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张鑫扬</w:t>
      </w:r>
      <w:r>
        <w:rPr>
          <w:rStyle w:val="7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0350-3399650  13603501699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609E9"/>
    <w:rsid w:val="BE7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2022-06-14T08:44:00Z</dcterms:created>
  <dc:creator>kylin</dc:creator>
  <cp:lastModifiedBy>kylin</cp:lastModifiedBy>
  <dcterms:modified xsi:type="dcterms:W3CDTF">2022-06-14T08:44:33Z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