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附件7：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忻州市科技战略研究专项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right="-92" w:rightChars="-44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忻州市科技战略研究专项围绕我市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十四五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实施创新驱动、科教兴市、人才强市战略规划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和创新生态建设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，重点支持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委、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政府关于创新驱动发展、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太忻一体化经济区建设和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科技创新重点政策创设研究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，破解科技决策和管理实践中面临的复杂性、系统性难题，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深化科技体制机制改革，切实发挥科技战略研究对科技决策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和经济社会发展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的智力支撑作用，形成一批可操作性的政策对策建议。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一、申报类别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申报项目分为重点项目和一般项目。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华文楷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楷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重点项目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重点项目聚焦全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科技创新工作的重大关键问题开展研究，为科技支撑引领全方位推进高质量发展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、助推太忻一体化经济区建设等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提供决策参考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，需根据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以下选题申报，不得改动项目名称。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、忻州市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创新生态建设顶层设计研究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新发展阶段科技创新支撑我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全方位推进高质量发展战略研究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全力打造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忻州市创新生态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政策研究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、科技助力太忻一体化经济区建设策略研究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科技支撑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忻州杂粮现代农业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发展战略研究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6、忻州市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以科技创新引领战略性新兴产业发展研究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7、忻州市与太原雄安新区相向发展路径研究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8、忻州市优化和完善科研项目经费及预算绩效管理研究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忻州市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科技型企业梯次培育政策研究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10、忻州市科技计划项目管理体系创新研究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11、忻州市科技体制机制改革深化与实践研究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科技特派员助力乡村振兴高质量发展研究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13、忻州市防范化解科技领域重大风险政策及机制研究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14、忻州市科技金融创新模式研究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15、忻州市科普基地建设与科普工作创新研究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16、抓党建促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基层治理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191919"/>
          <w:spacing w:val="0"/>
          <w:sz w:val="32"/>
          <w:szCs w:val="32"/>
          <w:shd w:val="clear" w:color="auto" w:fill="FFFFFF"/>
          <w:lang w:eastAsia="zh-CN"/>
        </w:rPr>
        <w:t>能力提升政策研究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17、吸引中高端人才来忻工作政策研究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18、忻州市文旅康养产业发展路径研究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19、忻州市碳达峰碳中和技术路线及政策研究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20、忻州市数字经济发展研究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华文楷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（二）一般项目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一般项目在以下领域中自由选题申报。选题范围包括：区域创新能力提升、行业产业创新水平提高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科技促进经济社会发展；科技创新服务体系建设；科技监督、科技评估、科技伦理研究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等，以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我市优势主导产业、战略性新兴产业、金融商贸、健康医疗、教育科研、农林水畜、文旅康养、新型毒品鉴别与防治、科技军民融合发展、现代服务业等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事关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经济和社会发展方面的难点、堵点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、热点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问题和政策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方面的研究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申报条件及要求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单位应当是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忻州市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依法注册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有独立法人资格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研究能力的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企事业单位（包括省驻忻企事业单位），或者是经市委、市政府批准设立的其他研发机构、社会组织以及党政机关等。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2、项目申报单位应具有开展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战略研究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的基础，有与项目实施相匹配的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条件、研发经费投入、健全的科研管理制度和财务管理制度等。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3、项目申报单位须科研诚信记录良好，对承担科技计划项目逾期未验收的单位不予支持。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必须是项目申报单位的正式在职人员，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需具有与项目内容相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工作经历、理论基础或专业技能，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同一项目负责人在研项目和申报项目不得超过两项。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5、申报项目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期一般不超过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战略研究专项成果以政策、规划、方案、专报等形式体现。在填报项目申报书和任务书时要提出科学、合理、具体且适于考核的绩效目标。项目验收时提交政策建议专报，将项目成果被政府部门采纳或刊物发表作为必备的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6、申报项目有合作单位的需提供合作协议。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、纯自然科学理论、纯社会科学理论、日常行政管理工作办法与制度等，不属于科技战略研究专项支持范围。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9"/>
          <w:rFonts w:hint="default" w:ascii="Times New Roman" w:hAnsi="Times New Roman" w:eastAsia="黑体" w:cs="Times New Roman"/>
        </w:rPr>
      </w:pPr>
      <w:r>
        <w:rPr>
          <w:rStyle w:val="9"/>
          <w:rFonts w:hint="default" w:ascii="Times New Roman" w:hAnsi="Times New Roman" w:eastAsia="黑体" w:cs="Times New Roman"/>
          <w:sz w:val="32"/>
          <w:szCs w:val="32"/>
        </w:rPr>
        <w:t>三、申报基本材料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忻州市科技计划项目申报书（系统生成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项目申报单位统一社会信用代码证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书或营业执照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448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企业需提供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上年度财务报表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448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4、项目负责人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学历、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专业技能证书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任职或聘用证明或其它能反映项目负责人科研能力的相关材料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448"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5、其它能反映申报单位承担科研项目能力的相关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四、联系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人及联系</w:t>
      </w:r>
      <w:r>
        <w:rPr>
          <w:rFonts w:hint="default" w:ascii="Times New Roman" w:hAnsi="Times New Roman" w:eastAsia="黑体" w:cs="Times New Roman"/>
          <w:sz w:val="32"/>
          <w:szCs w:val="32"/>
        </w:rPr>
        <w:t>方式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业务科室：市科技局战略规划与政策法规科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联系人：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郭建琴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景俊峰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联系电话：035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3399649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F0DFD"/>
    <w:multiLevelType w:val="singleLevel"/>
    <w:tmpl w:val="39FF0D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B452"/>
    <w:rsid w:val="76FCB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2022-06-14T08:46:00Z</dcterms:created>
  <dc:creator>kylin</dc:creator>
  <cp:lastModifiedBy>kylin</cp:lastModifiedBy>
  <dcterms:modified xsi:type="dcterms:W3CDTF">2022-06-14T08:46:59Z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