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default" w:ascii="方正小标宋简体" w:hAnsi="方正小标宋简体" w:eastAsia="方正小标宋简体" w:cs="方正小标宋简体"/>
          <w:color w:val="000000"/>
          <w:spacing w:val="25"/>
          <w:position w:val="-3"/>
          <w:sz w:val="44"/>
          <w:szCs w:val="44"/>
          <w:lang w:val="en"/>
        </w:rPr>
      </w:pPr>
    </w:p>
    <w:p>
      <w:pPr>
        <w:autoSpaceDE w:val="0"/>
        <w:autoSpaceDN w:val="0"/>
        <w:adjustRightInd w:val="0"/>
        <w:spacing w:line="560" w:lineRule="exact"/>
        <w:jc w:val="center"/>
        <w:rPr>
          <w:rFonts w:hint="default" w:ascii="方正小标宋简体" w:hAnsi="方正小标宋简体" w:eastAsia="方正小标宋简体" w:cs="方正小标宋简体"/>
          <w:color w:val="000000"/>
          <w:spacing w:val="25"/>
          <w:position w:val="-3"/>
          <w:sz w:val="44"/>
          <w:szCs w:val="44"/>
          <w:lang w:val="en"/>
        </w:rPr>
      </w:pPr>
      <w:r>
        <w:rPr>
          <w:rFonts w:hint="default" w:ascii="方正小标宋简体" w:hAnsi="方正小标宋简体" w:eastAsia="方正小标宋简体" w:cs="方正小标宋简体"/>
          <w:color w:val="000000"/>
          <w:spacing w:val="25"/>
          <w:position w:val="-3"/>
          <w:sz w:val="44"/>
          <w:szCs w:val="44"/>
          <w:lang w:val="en"/>
        </w:rPr>
        <w:t xml:space="preserve"> </w:t>
      </w:r>
    </w:p>
    <w:p>
      <w:pPr>
        <w:autoSpaceDE w:val="0"/>
        <w:autoSpaceDN w:val="0"/>
        <w:adjustRightInd w:val="0"/>
        <w:spacing w:line="560" w:lineRule="exact"/>
        <w:jc w:val="center"/>
        <w:rPr>
          <w:rFonts w:ascii="方正小标宋简体" w:hAnsi="方正小标宋简体" w:eastAsia="方正小标宋简体" w:cs="方正小标宋简体"/>
          <w:color w:val="000000"/>
          <w:spacing w:val="25"/>
          <w:position w:val="-3"/>
          <w:sz w:val="44"/>
          <w:szCs w:val="44"/>
        </w:rPr>
      </w:pPr>
      <w:r>
        <w:rPr>
          <w:rFonts w:hint="eastAsia" w:ascii="方正小标宋简体" w:hAnsi="方正小标宋简体" w:eastAsia="方正小标宋简体" w:cs="方正小标宋简体"/>
          <w:color w:val="000000"/>
          <w:spacing w:val="25"/>
          <w:position w:val="-3"/>
          <w:sz w:val="44"/>
          <w:szCs w:val="44"/>
        </w:rPr>
        <w:t>山西转型综合改革示范区</w:t>
      </w:r>
    </w:p>
    <w:p>
      <w:pPr>
        <w:autoSpaceDE w:val="0"/>
        <w:autoSpaceDN w:val="0"/>
        <w:adjustRightInd w:val="0"/>
        <w:spacing w:line="560" w:lineRule="exact"/>
        <w:jc w:val="center"/>
        <w:rPr>
          <w:rFonts w:hint="eastAsia" w:ascii="方正小标宋简体" w:hAnsi="方正小标宋简体" w:eastAsia="方正小标宋简体" w:cs="方正小标宋简体"/>
          <w:color w:val="000000"/>
          <w:spacing w:val="25"/>
          <w:position w:val="-3"/>
          <w:sz w:val="44"/>
          <w:szCs w:val="44"/>
          <w:lang w:eastAsia="zh-CN"/>
        </w:rPr>
      </w:pPr>
      <w:r>
        <w:rPr>
          <w:rFonts w:hint="eastAsia" w:ascii="方正小标宋简体" w:hAnsi="方正小标宋简体" w:eastAsia="方正小标宋简体" w:cs="方正小标宋简体"/>
          <w:color w:val="000000"/>
          <w:spacing w:val="25"/>
          <w:position w:val="-3"/>
          <w:sz w:val="44"/>
          <w:szCs w:val="44"/>
        </w:rPr>
        <w:t>促进金融业发展办法</w:t>
      </w:r>
      <w:r>
        <w:rPr>
          <w:rFonts w:hint="eastAsia" w:ascii="方正小标宋简体" w:hAnsi="方正小标宋简体" w:eastAsia="方正小标宋简体" w:cs="方正小标宋简体"/>
          <w:color w:val="000000"/>
          <w:spacing w:val="25"/>
          <w:position w:val="-3"/>
          <w:sz w:val="44"/>
          <w:szCs w:val="44"/>
          <w:lang w:eastAsia="zh-CN"/>
        </w:rPr>
        <w:t>（征求意见稿）</w:t>
      </w:r>
    </w:p>
    <w:p>
      <w:pPr>
        <w:widowControl/>
        <w:shd w:val="clear" w:color="auto" w:fill="FFFFFF"/>
        <w:spacing w:line="600" w:lineRule="exact"/>
        <w:ind w:firstLine="640" w:firstLineChars="200"/>
        <w:rPr>
          <w:rFonts w:ascii="仿宋" w:hAnsi="仿宋" w:eastAsia="仿宋"/>
          <w:color w:val="000000"/>
          <w:kern w:val="0"/>
          <w:sz w:val="32"/>
        </w:rPr>
      </w:pPr>
    </w:p>
    <w:p>
      <w:pPr>
        <w:widowControl/>
        <w:shd w:val="clear" w:color="auto" w:fill="FFFFFF"/>
        <w:spacing w:line="600" w:lineRule="exact"/>
        <w:ind w:firstLine="640" w:firstLineChars="200"/>
        <w:jc w:val="both"/>
        <w:rPr>
          <w:rFonts w:hint="eastAsia" w:ascii="仿宋" w:hAnsi="仿宋" w:eastAsia="仿宋" w:cs="仿宋"/>
          <w:color w:val="000000"/>
          <w:kern w:val="0"/>
          <w:sz w:val="32"/>
        </w:rPr>
      </w:pPr>
      <w:r>
        <w:rPr>
          <w:rFonts w:hint="eastAsia" w:ascii="仿宋" w:hAnsi="仿宋" w:eastAsia="仿宋" w:cs="仿宋"/>
          <w:color w:val="000000"/>
          <w:kern w:val="0"/>
          <w:sz w:val="32"/>
        </w:rPr>
        <w:t>为</w:t>
      </w:r>
      <w:r>
        <w:rPr>
          <w:rFonts w:hint="eastAsia" w:ascii="仿宋_GB2312" w:hAnsi="仿宋" w:eastAsia="仿宋_GB2312"/>
          <w:sz w:val="32"/>
          <w:szCs w:val="32"/>
        </w:rPr>
        <w:t>推进实体经济与资本市场深度融合</w:t>
      </w:r>
      <w:r>
        <w:rPr>
          <w:rFonts w:hint="eastAsia" w:ascii="仿宋" w:hAnsi="仿宋" w:eastAsia="仿宋" w:cs="仿宋"/>
          <w:color w:val="000000"/>
          <w:kern w:val="0"/>
          <w:sz w:val="32"/>
          <w:lang w:eastAsia="zh-CN"/>
        </w:rPr>
        <w:t>，</w:t>
      </w:r>
      <w:r>
        <w:rPr>
          <w:rFonts w:hint="eastAsia" w:ascii="仿宋_GB2312" w:hAnsi="仿宋_GB2312" w:eastAsia="仿宋_GB2312" w:cs="仿宋_GB2312"/>
          <w:color w:val="auto"/>
          <w:sz w:val="32"/>
          <w:szCs w:val="32"/>
          <w:lang w:val="en-US" w:eastAsia="zh-CN"/>
        </w:rPr>
        <w:t>助推</w:t>
      </w:r>
      <w:r>
        <w:rPr>
          <w:rFonts w:hint="eastAsia" w:ascii="仿宋" w:hAnsi="仿宋" w:eastAsia="仿宋" w:cs="仿宋"/>
          <w:color w:val="000000"/>
          <w:kern w:val="0"/>
          <w:sz w:val="32"/>
        </w:rPr>
        <w:t>山西转型综合改革示范区（以下简称“示范区”）金融业</w:t>
      </w:r>
      <w:r>
        <w:rPr>
          <w:rFonts w:hint="eastAsia" w:ascii="仿宋_GB2312" w:hAnsi="仿宋_GB2312" w:eastAsia="仿宋_GB2312" w:cs="仿宋_GB2312"/>
          <w:color w:val="auto"/>
          <w:sz w:val="32"/>
          <w:szCs w:val="32"/>
          <w:lang w:val="en-US" w:eastAsia="zh-CN"/>
        </w:rPr>
        <w:t>全方位高质量发展</w:t>
      </w:r>
      <w:r>
        <w:rPr>
          <w:rFonts w:hint="eastAsia" w:ascii="仿宋" w:hAnsi="仿宋" w:eastAsia="仿宋" w:cs="仿宋"/>
          <w:color w:val="000000"/>
          <w:kern w:val="0"/>
          <w:sz w:val="32"/>
        </w:rPr>
        <w:t>,充分发挥示范区先行先试优势，优化金融政策环境，防范化解金融风险，为金融机构和人才在示范区集聚发展创造良好条件，</w:t>
      </w:r>
      <w:r>
        <w:rPr>
          <w:rFonts w:hint="eastAsia" w:ascii="仿宋_GB2312" w:hAnsi="仿宋_GB2312" w:eastAsia="仿宋_GB2312" w:cs="仿宋_GB2312"/>
          <w:color w:val="auto"/>
          <w:sz w:val="32"/>
          <w:szCs w:val="32"/>
          <w:lang w:val="en-US" w:eastAsia="zh-CN"/>
        </w:rPr>
        <w:t>根据《山西省推进企业上市倍增计划》文件精神</w:t>
      </w:r>
      <w:r>
        <w:rPr>
          <w:rFonts w:hint="eastAsia" w:ascii="仿宋" w:hAnsi="仿宋" w:eastAsia="仿宋" w:cs="仿宋"/>
          <w:color w:val="000000"/>
          <w:kern w:val="0"/>
          <w:sz w:val="32"/>
        </w:rPr>
        <w:t>，结合实际，制定本办法。</w:t>
      </w:r>
    </w:p>
    <w:p>
      <w:pPr>
        <w:pStyle w:val="2"/>
        <w:numPr>
          <w:ilvl w:val="0"/>
          <w:numId w:val="0"/>
        </w:numPr>
        <w:jc w:val="center"/>
        <w:rPr>
          <w:rFonts w:hint="default"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第一章 支持对象和范围</w:t>
      </w:r>
    </w:p>
    <w:p>
      <w:pPr>
        <w:pStyle w:val="2"/>
        <w:numPr>
          <w:ilvl w:val="0"/>
          <w:numId w:val="0"/>
        </w:numPr>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kern w:val="0"/>
          <w:sz w:val="32"/>
          <w:szCs w:val="22"/>
          <w:lang w:val="en-US" w:eastAsia="zh-CN" w:bidi="ar-SA"/>
        </w:rPr>
        <w:t>第一条</w:t>
      </w:r>
      <w:r>
        <w:rPr>
          <w:rFonts w:hint="eastAsia" w:ascii="仿宋" w:hAnsi="仿宋" w:eastAsia="仿宋" w:cs="仿宋"/>
          <w:color w:val="000000"/>
          <w:kern w:val="0"/>
          <w:sz w:val="32"/>
          <w:szCs w:val="22"/>
          <w:lang w:val="en-US" w:eastAsia="zh-CN" w:bidi="ar-SA"/>
        </w:rPr>
        <w:t xml:space="preserve"> 本办法所称的金融机构，包括法人金融机构、金融机构持牌一级分支机构、</w:t>
      </w:r>
      <w:r>
        <w:rPr>
          <w:rFonts w:hint="eastAsia" w:ascii="仿宋" w:hAnsi="仿宋" w:cs="仿宋"/>
          <w:color w:val="000000"/>
          <w:kern w:val="0"/>
          <w:sz w:val="32"/>
          <w:szCs w:val="22"/>
          <w:lang w:val="en-US" w:eastAsia="zh-CN" w:bidi="ar-SA"/>
        </w:rPr>
        <w:t>地方金融组织</w:t>
      </w:r>
      <w:r>
        <w:rPr>
          <w:rFonts w:hint="eastAsia" w:ascii="仿宋" w:hAnsi="仿宋" w:eastAsia="仿宋" w:cs="仿宋"/>
          <w:color w:val="000000"/>
          <w:kern w:val="0"/>
          <w:sz w:val="32"/>
          <w:szCs w:val="22"/>
          <w:lang w:val="en-US" w:eastAsia="zh-CN" w:bidi="ar-SA"/>
        </w:rPr>
        <w:t>、</w:t>
      </w:r>
      <w:r>
        <w:rPr>
          <w:rFonts w:hint="eastAsia" w:ascii="仿宋" w:hAnsi="仿宋" w:cs="仿宋"/>
          <w:color w:val="000000"/>
          <w:kern w:val="0"/>
          <w:sz w:val="32"/>
          <w:szCs w:val="22"/>
          <w:lang w:val="en-US" w:eastAsia="zh-CN" w:bidi="ar-SA"/>
        </w:rPr>
        <w:t>私募基金</w:t>
      </w:r>
      <w:r>
        <w:rPr>
          <w:rFonts w:hint="eastAsia" w:ascii="仿宋" w:hAnsi="仿宋" w:eastAsia="仿宋" w:cs="仿宋"/>
          <w:color w:val="000000"/>
          <w:kern w:val="0"/>
          <w:sz w:val="32"/>
          <w:szCs w:val="22"/>
          <w:lang w:val="en-US" w:eastAsia="zh-CN" w:bidi="ar-SA"/>
        </w:rPr>
        <w:t>和</w:t>
      </w:r>
      <w:r>
        <w:rPr>
          <w:rFonts w:hint="eastAsia" w:ascii="仿宋" w:hAnsi="仿宋" w:cs="仿宋"/>
          <w:color w:val="000000"/>
          <w:kern w:val="0"/>
          <w:sz w:val="32"/>
          <w:szCs w:val="22"/>
          <w:lang w:val="en-US" w:eastAsia="zh-CN" w:bidi="ar-SA"/>
        </w:rPr>
        <w:t>私募基金</w:t>
      </w:r>
      <w:r>
        <w:rPr>
          <w:rFonts w:hint="eastAsia" w:ascii="仿宋" w:hAnsi="仿宋" w:eastAsia="仿宋" w:cs="仿宋"/>
          <w:color w:val="000000"/>
          <w:kern w:val="0"/>
          <w:sz w:val="32"/>
          <w:szCs w:val="22"/>
          <w:lang w:val="en-US" w:eastAsia="zh-CN" w:bidi="ar-SA"/>
        </w:rPr>
        <w:t>管理</w:t>
      </w:r>
      <w:r>
        <w:rPr>
          <w:rFonts w:hint="eastAsia" w:ascii="仿宋" w:hAnsi="仿宋" w:cs="仿宋"/>
          <w:color w:val="000000"/>
          <w:kern w:val="0"/>
          <w:sz w:val="32"/>
          <w:szCs w:val="22"/>
          <w:lang w:val="en-US" w:eastAsia="zh-CN" w:bidi="ar-SA"/>
        </w:rPr>
        <w:t>公司</w:t>
      </w:r>
      <w:r>
        <w:rPr>
          <w:rFonts w:hint="eastAsia" w:ascii="仿宋" w:hAnsi="仿宋" w:eastAsia="仿宋" w:cs="仿宋"/>
          <w:color w:val="000000"/>
          <w:kern w:val="0"/>
          <w:sz w:val="32"/>
          <w:szCs w:val="22"/>
          <w:lang w:val="en-US" w:eastAsia="zh-CN" w:bidi="ar-SA"/>
        </w:rPr>
        <w:t>、金融第三方服务机构及其他创新型金融机构等。</w:t>
      </w:r>
    </w:p>
    <w:p>
      <w:pPr>
        <w:pStyle w:val="2"/>
        <w:numPr>
          <w:ilvl w:val="0"/>
          <w:numId w:val="0"/>
        </w:numPr>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kern w:val="0"/>
          <w:sz w:val="32"/>
          <w:szCs w:val="22"/>
          <w:lang w:val="en-US" w:eastAsia="zh-CN" w:bidi="ar-SA"/>
        </w:rPr>
        <w:t>第二条</w:t>
      </w:r>
      <w:r>
        <w:rPr>
          <w:rFonts w:hint="eastAsia" w:ascii="仿宋" w:hAnsi="仿宋" w:eastAsia="仿宋" w:cs="仿宋"/>
          <w:color w:val="000000"/>
          <w:kern w:val="0"/>
          <w:sz w:val="32"/>
          <w:szCs w:val="22"/>
          <w:lang w:val="en-US" w:eastAsia="zh-CN" w:bidi="ar-SA"/>
        </w:rPr>
        <w:t xml:space="preserve"> 本办法所称法人金融机构，是指经中国人民银行、银保监会、证监会及其派出机构核准牌照或备案且实缴资本达到1亿元</w:t>
      </w:r>
      <w:r>
        <w:rPr>
          <w:rFonts w:hint="eastAsia" w:ascii="仿宋" w:hAnsi="仿宋" w:cs="仿宋"/>
          <w:color w:val="000000"/>
          <w:kern w:val="0"/>
          <w:sz w:val="32"/>
          <w:szCs w:val="22"/>
          <w:lang w:val="en-US" w:eastAsia="zh-CN" w:bidi="ar-SA"/>
        </w:rPr>
        <w:t>及</w:t>
      </w:r>
      <w:r>
        <w:rPr>
          <w:rFonts w:hint="eastAsia" w:ascii="仿宋" w:hAnsi="仿宋" w:eastAsia="仿宋" w:cs="仿宋"/>
          <w:color w:val="000000"/>
          <w:kern w:val="0"/>
          <w:sz w:val="32"/>
          <w:szCs w:val="22"/>
          <w:lang w:val="en-US" w:eastAsia="zh-CN" w:bidi="ar-SA"/>
        </w:rPr>
        <w:t>以上的银行、证券、保险、期货公司、财务</w:t>
      </w:r>
      <w:r>
        <w:rPr>
          <w:rFonts w:hint="eastAsia" w:ascii="仿宋" w:hAnsi="仿宋" w:cs="仿宋"/>
          <w:color w:val="000000"/>
          <w:kern w:val="0"/>
          <w:sz w:val="32"/>
          <w:szCs w:val="22"/>
          <w:lang w:val="en-US" w:eastAsia="zh-CN" w:bidi="ar-SA"/>
        </w:rPr>
        <w:t>公司</w:t>
      </w:r>
      <w:r>
        <w:rPr>
          <w:rFonts w:hint="eastAsia" w:ascii="仿宋" w:hAnsi="仿宋" w:eastAsia="仿宋" w:cs="仿宋"/>
          <w:color w:val="000000"/>
          <w:kern w:val="0"/>
          <w:sz w:val="32"/>
          <w:szCs w:val="22"/>
          <w:lang w:val="en-US" w:eastAsia="zh-CN" w:bidi="ar-SA"/>
        </w:rPr>
        <w:t>、消费金融、汽车金融、第三方支付、</w:t>
      </w:r>
      <w:r>
        <w:rPr>
          <w:rFonts w:hint="eastAsia" w:ascii="仿宋" w:hAnsi="仿宋" w:cs="仿宋"/>
          <w:color w:val="000000"/>
          <w:kern w:val="0"/>
          <w:sz w:val="32"/>
          <w:szCs w:val="22"/>
          <w:lang w:val="en-US" w:eastAsia="zh-CN" w:bidi="ar-SA"/>
        </w:rPr>
        <w:t xml:space="preserve"> </w:t>
      </w:r>
      <w:r>
        <w:rPr>
          <w:rFonts w:hint="eastAsia" w:ascii="仿宋" w:hAnsi="仿宋" w:eastAsia="仿宋" w:cs="仿宋"/>
          <w:color w:val="000000"/>
          <w:kern w:val="0"/>
          <w:sz w:val="32"/>
          <w:szCs w:val="22"/>
          <w:lang w:val="en-US" w:eastAsia="zh-CN" w:bidi="ar-SA"/>
        </w:rPr>
        <w:t>金融租赁、信托、公募基金、金融资产管理、保险资产管理公司、保险经纪公司、保险代理、保险公估等法人金融机构。</w:t>
      </w:r>
    </w:p>
    <w:p>
      <w:pPr>
        <w:pStyle w:val="2"/>
        <w:numPr>
          <w:ilvl w:val="0"/>
          <w:numId w:val="0"/>
        </w:numPr>
        <w:ind w:firstLine="640" w:firstLineChars="200"/>
        <w:jc w:val="both"/>
        <w:rPr>
          <w:rFonts w:hint="default" w:ascii="仿宋" w:hAnsi="仿宋" w:eastAsia="仿宋" w:cs="仿宋"/>
          <w:color w:val="000000"/>
          <w:kern w:val="0"/>
          <w:sz w:val="32"/>
          <w:szCs w:val="22"/>
          <w:lang w:val="en-US" w:eastAsia="zh-CN" w:bidi="ar-SA"/>
        </w:rPr>
      </w:pPr>
      <w:r>
        <w:rPr>
          <w:rFonts w:hint="default" w:ascii="仿宋" w:hAnsi="仿宋" w:eastAsia="仿宋" w:cs="仿宋"/>
          <w:color w:val="000000"/>
          <w:kern w:val="0"/>
          <w:sz w:val="32"/>
          <w:szCs w:val="22"/>
          <w:lang w:val="en-US" w:eastAsia="zh-CN" w:bidi="ar-SA"/>
        </w:rPr>
        <w:t>本办法所称金融机构持牌一级分支机构，是指经国家和地方金融监管部门批准，隶属于银行、证券公司、保险公司、信托公司、期货公司、金融租赁公司等金融机构总部的省级分行（分公司）。</w:t>
      </w:r>
    </w:p>
    <w:p>
      <w:pPr>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kern w:val="0"/>
          <w:sz w:val="32"/>
          <w:szCs w:val="22"/>
          <w:lang w:val="en-US" w:eastAsia="zh-CN" w:bidi="ar-SA"/>
        </w:rPr>
        <w:t xml:space="preserve">第三条 </w:t>
      </w:r>
      <w:r>
        <w:rPr>
          <w:rFonts w:hint="eastAsia" w:ascii="仿宋" w:hAnsi="仿宋" w:eastAsia="仿宋" w:cs="仿宋"/>
          <w:color w:val="000000"/>
          <w:kern w:val="0"/>
          <w:sz w:val="32"/>
          <w:szCs w:val="22"/>
          <w:lang w:val="en-US" w:eastAsia="zh-CN" w:bidi="ar-SA"/>
        </w:rPr>
        <w:t>本办法所称地方金融组织，是指依法设立、由地方金融监督管理部门实施监管的金融企业，包括小额贷款公司、融资担保公司、典当行、融资租赁公司、商业保理公司、地方各类交易场所、区域性股权市场。</w:t>
      </w:r>
    </w:p>
    <w:p>
      <w:pPr>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kern w:val="0"/>
          <w:sz w:val="32"/>
          <w:szCs w:val="22"/>
          <w:lang w:val="en-US" w:eastAsia="zh-CN" w:bidi="ar-SA"/>
        </w:rPr>
        <w:t>第四条</w:t>
      </w:r>
      <w:r>
        <w:rPr>
          <w:rFonts w:hint="eastAsia" w:ascii="仿宋" w:hAnsi="仿宋" w:eastAsia="仿宋" w:cs="仿宋"/>
          <w:color w:val="000000"/>
          <w:kern w:val="0"/>
          <w:sz w:val="32"/>
          <w:szCs w:val="22"/>
          <w:lang w:val="en-US" w:eastAsia="zh-CN" w:bidi="ar-SA"/>
        </w:rPr>
        <w:t xml:space="preserve"> 本办法所称私募基金，是指依法设立并以股权投资为主要经营业务，并在中国证券投资基金业协会登记或备案的企业。私募基金管理公司是指受股权投资企业委托，以股权投资管理为主要经营业务，并在中国证券投资基金业协会登记或备案的企业。</w:t>
      </w:r>
    </w:p>
    <w:p>
      <w:pPr>
        <w:widowControl/>
        <w:numPr>
          <w:ilvl w:val="0"/>
          <w:numId w:val="0"/>
        </w:numPr>
        <w:shd w:val="clear" w:color="auto" w:fill="FFFFFF"/>
        <w:tabs>
          <w:tab w:val="left" w:pos="441"/>
        </w:tabs>
        <w:spacing w:line="600" w:lineRule="exact"/>
        <w:ind w:left="2120" w:leftChars="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color w:val="000000"/>
          <w:kern w:val="0"/>
          <w:sz w:val="32"/>
          <w:szCs w:val="22"/>
          <w:lang w:val="en-US" w:eastAsia="zh-CN" w:bidi="ar-SA"/>
        </w:rPr>
        <w:t xml:space="preserve"> </w:t>
      </w:r>
      <w:r>
        <w:rPr>
          <w:rFonts w:hint="eastAsia" w:ascii="黑体" w:hAnsi="黑体" w:eastAsia="黑体" w:cs="黑体"/>
          <w:bCs/>
          <w:kern w:val="0"/>
          <w:sz w:val="32"/>
          <w:szCs w:val="32"/>
          <w:lang w:val="en-US" w:eastAsia="zh-CN"/>
        </w:rPr>
        <w:t>第二章  支持金融产业集聚</w:t>
      </w:r>
    </w:p>
    <w:p>
      <w:pPr>
        <w:widowControl/>
        <w:shd w:val="clear" w:color="auto" w:fill="FFFFFF"/>
        <w:spacing w:line="600" w:lineRule="exact"/>
        <w:ind w:firstLine="642" w:firstLineChars="200"/>
        <w:jc w:val="both"/>
        <w:rPr>
          <w:rFonts w:hint="default"/>
          <w:lang w:val="en-US" w:eastAsia="zh-CN"/>
        </w:rPr>
      </w:pPr>
      <w:r>
        <w:rPr>
          <w:rFonts w:hint="eastAsia" w:ascii="仿宋" w:hAnsi="仿宋" w:eastAsia="仿宋" w:cs="仿宋"/>
          <w:b/>
          <w:bCs/>
          <w:color w:val="000000"/>
          <w:kern w:val="0"/>
          <w:sz w:val="32"/>
          <w:szCs w:val="22"/>
          <w:lang w:val="en-US" w:eastAsia="zh-CN" w:bidi="ar-SA"/>
        </w:rPr>
        <w:t>第五条</w:t>
      </w:r>
      <w:r>
        <w:rPr>
          <w:rFonts w:hint="eastAsia" w:ascii="仿宋" w:hAnsi="仿宋" w:eastAsia="仿宋" w:cs="仿宋"/>
          <w:color w:val="000000"/>
          <w:kern w:val="0"/>
          <w:sz w:val="32"/>
          <w:szCs w:val="22"/>
          <w:lang w:val="en-US" w:eastAsia="zh-CN" w:bidi="ar-SA"/>
        </w:rPr>
        <w:t xml:space="preserve"> 设立金融集聚区集聚各类金融资源，加大对境内外金融机构的招商力度，吸引各类金融机构落户示范区，围绕示范区定位创新各类金融产品，完善金融业服务体系，推进产业和金融协同发展。</w:t>
      </w:r>
    </w:p>
    <w:p>
      <w:pPr>
        <w:widowControl/>
        <w:shd w:val="clear" w:color="auto" w:fill="FFFFFF"/>
        <w:spacing w:line="600" w:lineRule="exact"/>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sz w:val="32"/>
          <w:u w:val="none"/>
          <w:lang w:val="en-US" w:eastAsia="zh-CN"/>
        </w:rPr>
        <w:t xml:space="preserve">第六条 </w:t>
      </w:r>
      <w:r>
        <w:rPr>
          <w:rFonts w:hint="eastAsia" w:ascii="仿宋" w:hAnsi="仿宋" w:eastAsia="仿宋" w:cs="仿宋"/>
          <w:color w:val="000000"/>
          <w:kern w:val="0"/>
          <w:sz w:val="32"/>
          <w:szCs w:val="22"/>
          <w:lang w:val="en-US" w:eastAsia="zh-CN" w:bidi="ar-SA"/>
        </w:rPr>
        <w:t>金融集聚区可由示范区直接认定，也可由提供物理空间的运营服务机构提出申请，示范区考察后认定。经认定的金融集聚区，根据其条件和特色颁发金融特色牌匾。（评选流程及标准见附件1）</w:t>
      </w:r>
    </w:p>
    <w:p>
      <w:pPr>
        <w:widowControl/>
        <w:shd w:val="clear" w:color="auto" w:fill="FFFFFF"/>
        <w:spacing w:line="600" w:lineRule="exact"/>
        <w:ind w:firstLine="64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鼓励金融集聚区的运营服务方吸引各类金融机构落户示范区，示范区金融主管部门每年适时对金融集聚区运营情况进行考核，按其上年度引进的金融机构主营业务收入情况，给予总额1</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的奖励，最高50万元。</w:t>
      </w:r>
    </w:p>
    <w:p>
      <w:pPr>
        <w:widowControl/>
        <w:shd w:val="clear" w:color="auto" w:fill="FFFFFF"/>
        <w:spacing w:line="60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示范区管委会及区属国有企业引进或设立金融机构，或区内现有金融机构变更住所的，不纳入金融集聚区考核范围。  </w:t>
      </w:r>
    </w:p>
    <w:p>
      <w:pPr>
        <w:pStyle w:val="2"/>
        <w:ind w:left="0" w:leftChars="0" w:firstLine="0" w:firstLineChars="0"/>
        <w:rPr>
          <w:rFonts w:hint="default"/>
          <w:lang w:val="en-US" w:eastAsia="zh-CN"/>
        </w:rPr>
      </w:pPr>
    </w:p>
    <w:p>
      <w:pPr>
        <w:widowControl/>
        <w:shd w:val="clear" w:color="auto" w:fill="FFFFFF"/>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第三章  支持金融机构发展</w:t>
      </w:r>
    </w:p>
    <w:p>
      <w:pPr>
        <w:widowControl/>
        <w:shd w:val="clear" w:color="auto" w:fill="FFFFFF"/>
        <w:spacing w:line="600" w:lineRule="exact"/>
        <w:ind w:firstLine="64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 w:hAnsi="仿宋" w:eastAsia="仿宋" w:cs="仿宋"/>
          <w:b/>
          <w:bCs/>
          <w:color w:val="0000FF"/>
          <w:sz w:val="32"/>
          <w:szCs w:val="32"/>
          <w:u w:val="none"/>
          <w:lang w:val="en-US" w:eastAsia="zh-CN"/>
        </w:rPr>
        <w:t xml:space="preserve"> </w:t>
      </w:r>
      <w:r>
        <w:rPr>
          <w:rFonts w:hint="eastAsia" w:ascii="仿宋_GB2312" w:hAnsi="仿宋_GB2312" w:eastAsia="仿宋_GB2312" w:cs="仿宋_GB2312"/>
          <w:color w:val="auto"/>
          <w:sz w:val="32"/>
          <w:szCs w:val="32"/>
          <w:lang w:val="en-US" w:eastAsia="zh-CN"/>
        </w:rPr>
        <w:t>根据本办法申请发展奖励，奖励期限5年，自申请年度起连续5个会计年度。申请奖励的金融机构，要求企业主营业务收入以申请第一年为基准逐年递增，方可享受奖励政策。如其中一年无法达到要求，奖励年限不予延后。</w:t>
      </w:r>
    </w:p>
    <w:p>
      <w:pPr>
        <w:widowControl/>
        <w:shd w:val="clear" w:color="auto" w:fill="FFFFFF"/>
        <w:spacing w:line="600" w:lineRule="exact"/>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在示范区注册纳税的金融机构总部、持牌一级分支机构，年主营业务收入达到下列目标的，经金融主管部门认定，可根据其上一年综合发展情况，给予一定的营业收入奖励。</w:t>
      </w:r>
    </w:p>
    <w:p>
      <w:pPr>
        <w:widowControl/>
        <w:shd w:val="clear" w:color="auto" w:fill="FFFFFF"/>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银行主营业务收入达到3亿元以上（包括3亿元），并保持增长的，可按照上一年度主营业务收入总额给予一定奖励，年度奖励金额最高不超过5000万元。前三年最高可给予主营业务收入1.5%奖励，后两年奖励比例减半。</w:t>
      </w:r>
    </w:p>
    <w:p>
      <w:pPr>
        <w:widowControl/>
        <w:shd w:val="clear" w:color="auto" w:fill="FFFFFF"/>
        <w:spacing w:line="60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（二）保险金融机构主营业务收入每年达到1.5亿元以上（包括1.5 亿元）， 并保持增长的，可按照上一年度主营业务收入总额给予一定奖励。前三年最高可给予主营业务收入20%奖励，后两年奖励比例减半，年度奖励最高不超过5000万元。</w:t>
      </w:r>
    </w:p>
    <w:p>
      <w:pPr>
        <w:widowControl/>
        <w:shd w:val="clear" w:color="auto" w:fill="FFFFFF"/>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证券金融机构主营业务收入每年应达到5000万元（包括5000万元）以上，并保持增长的，可按照上一年度主营业务收入总额给予一定奖励。前三年最高可给予主营业务收入1%奖励，后两年奖励比例减半，年度奖励金额最高不超过200万。</w:t>
      </w:r>
    </w:p>
    <w:p>
      <w:pPr>
        <w:widowControl/>
        <w:shd w:val="clear" w:color="auto" w:fill="FFFFFF"/>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（四）其他持牌金融机构经综合测算，达到相应规模，可参照执行。</w:t>
      </w:r>
    </w:p>
    <w:p>
      <w:pPr>
        <w:pStyle w:val="2"/>
        <w:numPr>
          <w:ilvl w:val="0"/>
          <w:numId w:val="0"/>
        </w:numPr>
        <w:ind w:firstLine="642" w:firstLineChars="200"/>
        <w:jc w:val="both"/>
        <w:rPr>
          <w:rFonts w:hint="eastAsia" w:ascii="仿宋" w:hAnsi="仿宋" w:eastAsia="仿宋" w:cs="仿宋"/>
          <w:color w:val="000000"/>
          <w:kern w:val="2"/>
          <w:sz w:val="32"/>
          <w:szCs w:val="22"/>
          <w:u w:val="none"/>
          <w:lang w:val="en-US" w:eastAsia="zh-CN" w:bidi="ar-SA"/>
        </w:rPr>
      </w:pPr>
      <w:r>
        <w:rPr>
          <w:rFonts w:hint="eastAsia" w:ascii="仿宋" w:hAnsi="仿宋" w:eastAsia="仿宋" w:cs="仿宋"/>
          <w:b/>
          <w:bCs/>
          <w:color w:val="000000"/>
          <w:kern w:val="2"/>
          <w:sz w:val="32"/>
          <w:szCs w:val="22"/>
          <w:u w:val="none"/>
          <w:lang w:val="en-US" w:eastAsia="zh-CN" w:bidi="ar-SA"/>
        </w:rPr>
        <w:t>第十条</w:t>
      </w:r>
      <w:r>
        <w:rPr>
          <w:rFonts w:hint="eastAsia" w:ascii="仿宋" w:hAnsi="仿宋" w:cs="仿宋"/>
          <w:color w:val="000000"/>
          <w:kern w:val="2"/>
          <w:sz w:val="32"/>
          <w:szCs w:val="22"/>
          <w:u w:val="none"/>
          <w:lang w:val="en-US" w:eastAsia="zh-CN" w:bidi="ar-SA"/>
        </w:rPr>
        <w:t xml:space="preserve"> 对注册在综改示范区的私募基金</w:t>
      </w:r>
      <w:r>
        <w:rPr>
          <w:rFonts w:hint="eastAsia" w:ascii="仿宋" w:hAnsi="仿宋" w:eastAsia="仿宋" w:cs="仿宋"/>
          <w:color w:val="000000"/>
          <w:kern w:val="2"/>
          <w:sz w:val="32"/>
          <w:szCs w:val="22"/>
          <w:u w:val="none"/>
          <w:lang w:val="en-US" w:eastAsia="zh-CN" w:bidi="ar-SA"/>
        </w:rPr>
        <w:t>、</w:t>
      </w:r>
      <w:r>
        <w:rPr>
          <w:rFonts w:hint="eastAsia" w:ascii="仿宋" w:hAnsi="仿宋" w:cs="仿宋"/>
          <w:color w:val="000000"/>
          <w:kern w:val="2"/>
          <w:sz w:val="32"/>
          <w:szCs w:val="22"/>
          <w:u w:val="none"/>
          <w:lang w:val="en-US" w:eastAsia="zh-CN" w:bidi="ar-SA"/>
        </w:rPr>
        <w:t>私募基金</w:t>
      </w:r>
      <w:r>
        <w:rPr>
          <w:rFonts w:hint="eastAsia" w:ascii="仿宋" w:hAnsi="仿宋" w:eastAsia="仿宋" w:cs="仿宋"/>
          <w:color w:val="000000"/>
          <w:kern w:val="2"/>
          <w:sz w:val="32"/>
          <w:szCs w:val="22"/>
          <w:u w:val="none"/>
          <w:lang w:val="en-US" w:eastAsia="zh-CN" w:bidi="ar-SA"/>
        </w:rPr>
        <w:t>管理</w:t>
      </w:r>
      <w:r>
        <w:rPr>
          <w:rFonts w:hint="eastAsia" w:ascii="仿宋" w:hAnsi="仿宋" w:cs="仿宋"/>
          <w:color w:val="000000"/>
          <w:kern w:val="2"/>
          <w:sz w:val="32"/>
          <w:szCs w:val="22"/>
          <w:u w:val="none"/>
          <w:lang w:val="en-US" w:eastAsia="zh-CN" w:bidi="ar-SA"/>
        </w:rPr>
        <w:t>公司</w:t>
      </w:r>
      <w:r>
        <w:rPr>
          <w:rFonts w:hint="eastAsia" w:ascii="仿宋" w:hAnsi="仿宋" w:eastAsia="仿宋" w:cs="仿宋"/>
          <w:color w:val="000000"/>
          <w:kern w:val="2"/>
          <w:sz w:val="32"/>
          <w:szCs w:val="22"/>
          <w:u w:val="none"/>
          <w:lang w:val="en-US" w:eastAsia="zh-CN" w:bidi="ar-SA"/>
        </w:rPr>
        <w:t>，自其</w:t>
      </w:r>
      <w:r>
        <w:rPr>
          <w:rFonts w:hint="eastAsia" w:ascii="仿宋" w:hAnsi="仿宋" w:cs="仿宋"/>
          <w:color w:val="000000"/>
          <w:kern w:val="2"/>
          <w:sz w:val="32"/>
          <w:szCs w:val="22"/>
          <w:u w:val="none"/>
          <w:lang w:val="en-US" w:eastAsia="zh-CN" w:bidi="ar-SA"/>
        </w:rPr>
        <w:t>形</w:t>
      </w:r>
      <w:r>
        <w:rPr>
          <w:rFonts w:hint="eastAsia" w:ascii="仿宋" w:hAnsi="仿宋" w:eastAsia="仿宋" w:cs="仿宋"/>
          <w:color w:val="000000"/>
          <w:kern w:val="2"/>
          <w:sz w:val="32"/>
          <w:szCs w:val="22"/>
          <w:u w:val="none"/>
          <w:lang w:val="en-US" w:eastAsia="zh-CN" w:bidi="ar-SA"/>
        </w:rPr>
        <w:t>成对示范区投资额达1000万</w:t>
      </w:r>
      <w:r>
        <w:rPr>
          <w:rFonts w:hint="eastAsia" w:ascii="仿宋" w:hAnsi="仿宋" w:cs="仿宋"/>
          <w:color w:val="000000"/>
          <w:kern w:val="2"/>
          <w:sz w:val="32"/>
          <w:szCs w:val="22"/>
          <w:u w:val="none"/>
          <w:lang w:val="en-US" w:eastAsia="zh-CN" w:bidi="ar-SA"/>
        </w:rPr>
        <w:t>及以上</w:t>
      </w:r>
      <w:r>
        <w:rPr>
          <w:rFonts w:hint="eastAsia" w:ascii="仿宋" w:hAnsi="仿宋" w:eastAsia="仿宋" w:cs="仿宋"/>
          <w:color w:val="000000"/>
          <w:kern w:val="0"/>
          <w:sz w:val="32"/>
          <w:szCs w:val="22"/>
          <w:lang w:val="en-US" w:eastAsia="zh-CN" w:bidi="ar-SA"/>
        </w:rPr>
        <w:t>（扣除政府引导</w:t>
      </w:r>
      <w:r>
        <w:rPr>
          <w:rFonts w:hint="eastAsia" w:ascii="仿宋" w:hAnsi="仿宋" w:eastAsia="仿宋" w:cs="仿宋"/>
          <w:color w:val="000000"/>
          <w:kern w:val="2"/>
          <w:sz w:val="32"/>
          <w:szCs w:val="22"/>
          <w:u w:val="none"/>
          <w:lang w:val="en-US" w:eastAsia="zh-CN" w:bidi="ar-SA"/>
        </w:rPr>
        <w:t>基金及省、市、区财政资金及省、市、区属国有资本）且投资期限已满1年，经示范区金融主管部门认定，可按照投资企业对示范区企业投资额的3</w:t>
      </w:r>
      <w:r>
        <w:rPr>
          <w:rFonts w:hint="default" w:ascii="仿宋" w:hAnsi="仿宋" w:eastAsia="仿宋" w:cs="仿宋"/>
          <w:color w:val="000000"/>
          <w:kern w:val="2"/>
          <w:sz w:val="32"/>
          <w:szCs w:val="22"/>
          <w:u w:val="none"/>
          <w:lang w:val="en-US" w:eastAsia="zh-CN" w:bidi="ar-SA"/>
        </w:rPr>
        <w:t>‰</w:t>
      </w:r>
      <w:r>
        <w:rPr>
          <w:rFonts w:hint="eastAsia" w:ascii="仿宋" w:hAnsi="仿宋" w:eastAsia="仿宋" w:cs="仿宋"/>
          <w:color w:val="000000"/>
          <w:kern w:val="2"/>
          <w:sz w:val="32"/>
          <w:szCs w:val="22"/>
          <w:u w:val="none"/>
          <w:lang w:val="en-US" w:eastAsia="zh-CN" w:bidi="ar-SA"/>
        </w:rPr>
        <w:t>给予奖励。</w:t>
      </w:r>
    </w:p>
    <w:p>
      <w:pPr>
        <w:pStyle w:val="2"/>
        <w:numPr>
          <w:ilvl w:val="0"/>
          <w:numId w:val="0"/>
        </w:numPr>
        <w:ind w:firstLine="640" w:firstLineChars="200"/>
        <w:jc w:val="both"/>
        <w:rPr>
          <w:rFonts w:hint="default" w:ascii="仿宋" w:hAnsi="仿宋" w:eastAsia="仿宋" w:cs="仿宋"/>
          <w:color w:val="000000"/>
          <w:kern w:val="2"/>
          <w:sz w:val="32"/>
          <w:szCs w:val="22"/>
          <w:u w:val="none"/>
          <w:lang w:val="en-US" w:eastAsia="zh-CN" w:bidi="ar-SA"/>
        </w:rPr>
      </w:pPr>
      <w:r>
        <w:rPr>
          <w:rFonts w:hint="eastAsia" w:ascii="仿宋" w:hAnsi="仿宋" w:eastAsia="仿宋" w:cs="仿宋"/>
          <w:color w:val="000000"/>
          <w:kern w:val="2"/>
          <w:sz w:val="32"/>
          <w:szCs w:val="22"/>
          <w:u w:val="none"/>
          <w:lang w:val="en-US" w:eastAsia="zh-CN" w:bidi="ar-SA"/>
        </w:rPr>
        <w:t>单笔投资额仅能申请一次奖励，追加投资额可就追加部分申请奖励。</w:t>
      </w:r>
    </w:p>
    <w:p>
      <w:pPr>
        <w:widowControl/>
        <w:numPr>
          <w:ilvl w:val="0"/>
          <w:numId w:val="0"/>
        </w:numPr>
        <w:shd w:val="clear" w:color="auto" w:fill="FFFFFF"/>
        <w:spacing w:line="600" w:lineRule="exact"/>
        <w:ind w:firstLine="642" w:firstLineChars="200"/>
        <w:jc w:val="both"/>
        <w:rPr>
          <w:rFonts w:hint="eastAsia" w:ascii="仿宋" w:hAnsi="仿宋" w:eastAsia="仿宋" w:cs="仿宋"/>
          <w:color w:val="000000"/>
          <w:kern w:val="2"/>
          <w:sz w:val="32"/>
          <w:szCs w:val="22"/>
          <w:u w:val="none"/>
          <w:lang w:val="en-US" w:eastAsia="zh-CN" w:bidi="ar-SA"/>
        </w:rPr>
      </w:pPr>
      <w:r>
        <w:rPr>
          <w:rFonts w:hint="eastAsia" w:ascii="仿宋" w:hAnsi="仿宋" w:eastAsia="仿宋" w:cs="仿宋"/>
          <w:b/>
          <w:bCs/>
          <w:color w:val="000000"/>
          <w:kern w:val="2"/>
          <w:sz w:val="32"/>
          <w:szCs w:val="22"/>
          <w:u w:val="none"/>
          <w:lang w:val="en-US" w:eastAsia="zh-CN" w:bidi="ar-SA"/>
        </w:rPr>
        <w:t>第十一条</w:t>
      </w:r>
      <w:r>
        <w:rPr>
          <w:rFonts w:hint="eastAsia" w:ascii="仿宋" w:hAnsi="仿宋" w:eastAsia="仿宋" w:cs="仿宋"/>
          <w:color w:val="000000"/>
          <w:kern w:val="2"/>
          <w:sz w:val="32"/>
          <w:szCs w:val="22"/>
          <w:u w:val="none"/>
          <w:lang w:val="en-US" w:eastAsia="zh-CN" w:bidi="ar-SA"/>
        </w:rPr>
        <w:t xml:space="preserve"> 在示范区注册纳税的金融机构总部、持牌一级分支机构及地方金融组织，在示范区购买、自建自用办公用房的，按照购房实际成交价或建设总投资（土地价款与工程结算书中建设成本总和）的1.5%给予一次性补贴，最高500万元；在示范区内租用办公用房的，</w:t>
      </w:r>
      <w:r>
        <w:rPr>
          <w:rFonts w:hint="eastAsia" w:ascii="仿宋_GB2312" w:hAnsi="仿宋_GB2312" w:eastAsia="仿宋_GB2312" w:cs="仿宋_GB2312"/>
          <w:color w:val="auto"/>
          <w:kern w:val="2"/>
          <w:sz w:val="32"/>
          <w:szCs w:val="32"/>
          <w:lang w:val="en-US" w:eastAsia="zh-CN" w:bidi="ar-SA"/>
        </w:rPr>
        <w:t>予以上一年度租房款30%的补贴</w:t>
      </w:r>
      <w:r>
        <w:rPr>
          <w:rFonts w:hint="eastAsia" w:ascii="仿宋" w:hAnsi="仿宋" w:eastAsia="仿宋" w:cs="仿宋"/>
          <w:color w:val="000000"/>
          <w:kern w:val="2"/>
          <w:sz w:val="32"/>
          <w:szCs w:val="22"/>
          <w:u w:val="none"/>
          <w:lang w:val="en-US" w:eastAsia="zh-CN" w:bidi="ar-SA"/>
        </w:rPr>
        <w:t>，年补贴金额最高100万元，补贴期限3年。</w:t>
      </w:r>
    </w:p>
    <w:p>
      <w:pPr>
        <w:widowControl/>
        <w:numPr>
          <w:ilvl w:val="0"/>
          <w:numId w:val="0"/>
        </w:numPr>
        <w:shd w:val="clear" w:color="auto" w:fill="FFFFFF"/>
        <w:spacing w:line="600" w:lineRule="exact"/>
        <w:ind w:firstLine="642" w:firstLineChars="200"/>
        <w:jc w:val="both"/>
        <w:rPr>
          <w:rFonts w:hint="eastAsia" w:ascii="仿宋" w:hAnsi="仿宋" w:eastAsia="仿宋" w:cs="仿宋"/>
          <w:color w:val="000000"/>
          <w:kern w:val="2"/>
          <w:sz w:val="32"/>
          <w:szCs w:val="22"/>
          <w:u w:val="none"/>
          <w:lang w:val="en-US" w:eastAsia="zh-CN" w:bidi="ar-SA"/>
        </w:rPr>
      </w:pPr>
      <w:r>
        <w:rPr>
          <w:rFonts w:hint="eastAsia" w:ascii="仿宋" w:hAnsi="仿宋" w:eastAsia="仿宋" w:cs="仿宋"/>
          <w:b/>
          <w:bCs/>
          <w:color w:val="000000"/>
          <w:kern w:val="2"/>
          <w:sz w:val="32"/>
          <w:szCs w:val="22"/>
          <w:u w:val="none"/>
          <w:lang w:val="en-US" w:eastAsia="zh-CN" w:bidi="ar-SA"/>
        </w:rPr>
        <w:t>第十二条</w:t>
      </w:r>
      <w:r>
        <w:rPr>
          <w:rFonts w:hint="eastAsia" w:ascii="仿宋" w:hAnsi="仿宋" w:eastAsia="仿宋" w:cs="仿宋"/>
          <w:color w:val="000000"/>
          <w:kern w:val="2"/>
          <w:sz w:val="32"/>
          <w:szCs w:val="22"/>
          <w:u w:val="none"/>
          <w:lang w:val="en-US" w:eastAsia="zh-CN" w:bidi="ar-SA"/>
        </w:rPr>
        <w:t xml:space="preserve"> 金融机构人才类奖励依照《山西转型综合改革示范区人才及团队引进培育扶持办法》相关规定执行。</w:t>
      </w:r>
    </w:p>
    <w:p>
      <w:pPr>
        <w:widowControl/>
        <w:numPr>
          <w:ilvl w:val="0"/>
          <w:numId w:val="0"/>
        </w:numPr>
        <w:shd w:val="clear" w:color="auto" w:fill="FFFFFF"/>
        <w:spacing w:line="600" w:lineRule="exact"/>
        <w:ind w:firstLine="642" w:firstLineChars="200"/>
        <w:jc w:val="both"/>
        <w:rPr>
          <w:rFonts w:hint="eastAsia" w:ascii="仿宋" w:hAnsi="仿宋" w:eastAsia="仿宋" w:cs="仿宋"/>
          <w:color w:val="000000"/>
          <w:kern w:val="2"/>
          <w:sz w:val="32"/>
          <w:szCs w:val="22"/>
          <w:u w:val="none"/>
          <w:lang w:val="en-US" w:eastAsia="zh-CN" w:bidi="ar-SA"/>
        </w:rPr>
      </w:pPr>
      <w:r>
        <w:rPr>
          <w:rFonts w:hint="eastAsia" w:ascii="仿宋" w:hAnsi="仿宋" w:eastAsia="仿宋" w:cs="仿宋"/>
          <w:b/>
          <w:bCs/>
          <w:color w:val="000000"/>
          <w:kern w:val="2"/>
          <w:sz w:val="32"/>
          <w:szCs w:val="22"/>
          <w:u w:val="none"/>
          <w:lang w:val="en-US" w:eastAsia="zh-CN" w:bidi="ar-SA"/>
        </w:rPr>
        <w:t>第十三条</w:t>
      </w:r>
      <w:r>
        <w:rPr>
          <w:rFonts w:hint="eastAsia" w:ascii="仿宋" w:hAnsi="仿宋" w:eastAsia="仿宋" w:cs="仿宋"/>
          <w:color w:val="000000"/>
          <w:kern w:val="2"/>
          <w:sz w:val="32"/>
          <w:szCs w:val="22"/>
          <w:u w:val="none"/>
          <w:lang w:val="en-US" w:eastAsia="zh-CN" w:bidi="ar-SA"/>
        </w:rPr>
        <w:t xml:space="preserve"> 对示范区金融发展具有重大促进作用的金融机构及地方金融组织，可采取“一事一议”方式给予政策扶持。</w:t>
      </w:r>
    </w:p>
    <w:p>
      <w:pPr>
        <w:pStyle w:val="2"/>
        <w:ind w:left="0" w:leftChars="0" w:firstLine="0" w:firstLineChars="0"/>
        <w:rPr>
          <w:rFonts w:hint="eastAsia"/>
          <w:lang w:val="en-US" w:eastAsia="zh-CN"/>
        </w:rPr>
      </w:pPr>
    </w:p>
    <w:p>
      <w:pPr>
        <w:widowControl/>
        <w:shd w:val="clear" w:color="auto" w:fill="FFFFFF"/>
        <w:spacing w:line="600" w:lineRule="exact"/>
        <w:ind w:firstLine="2240" w:firstLineChars="700"/>
        <w:jc w:val="both"/>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第四章  </w:t>
      </w:r>
      <w:r>
        <w:rPr>
          <w:rFonts w:hint="eastAsia" w:ascii="黑体" w:hAnsi="黑体" w:eastAsia="黑体" w:cs="黑体"/>
          <w:kern w:val="0"/>
          <w:sz w:val="32"/>
          <w:szCs w:val="32"/>
        </w:rPr>
        <w:t>壮大资本市场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color w:val="000000"/>
          <w:sz w:val="32"/>
        </w:rPr>
      </w:pPr>
      <w:r>
        <w:rPr>
          <w:rFonts w:hint="eastAsia" w:ascii="仿宋" w:hAnsi="仿宋" w:eastAsia="仿宋" w:cs="仿宋"/>
          <w:b/>
          <w:bCs/>
          <w:color w:val="000000"/>
          <w:kern w:val="2"/>
          <w:sz w:val="32"/>
          <w:szCs w:val="22"/>
          <w:u w:val="none"/>
          <w:lang w:val="en-US" w:eastAsia="zh-CN" w:bidi="ar-SA"/>
        </w:rPr>
        <w:t>第十四条</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加强示范区企业改制上市工作指导，建立“示范区拟上市或挂牌企业资源库”，与券商、金融第三方服务机构等合作开展企业挂牌上市辅导和培训工作，建立与银行、保险、融资担保公司、股权投资管理企业等机构的多种战略合作机制，举办项目对接会、银企对接会等，搭建各类金融资本与企业对接平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color w:val="000000"/>
          <w:sz w:val="32"/>
        </w:rPr>
      </w:pPr>
      <w:r>
        <w:rPr>
          <w:rFonts w:hint="eastAsia" w:ascii="仿宋" w:hAnsi="仿宋" w:eastAsia="仿宋" w:cs="仿宋"/>
          <w:b/>
          <w:bCs/>
          <w:color w:val="000000"/>
          <w:kern w:val="2"/>
          <w:sz w:val="32"/>
          <w:szCs w:val="22"/>
          <w:u w:val="none"/>
          <w:lang w:val="en-US" w:eastAsia="zh-CN" w:bidi="ar-SA"/>
        </w:rPr>
        <w:t>第十五条</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促进示范区企业改制、挂牌与上市，支持符合条件的企业在境内外上市融资，鼓励外地上市公司迁入示范区。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rPr>
      </w:pP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一</w:t>
      </w:r>
      <w:r>
        <w:rPr>
          <w:rFonts w:hint="eastAsia" w:ascii="仿宋" w:hAnsi="仿宋" w:eastAsia="仿宋" w:cs="仿宋"/>
          <w:color w:val="000000"/>
          <w:sz w:val="32"/>
          <w:lang w:eastAsia="zh-CN"/>
        </w:rPr>
        <w:t>）</w:t>
      </w:r>
      <w:r>
        <w:rPr>
          <w:rFonts w:hint="eastAsia" w:ascii="仿宋" w:hAnsi="仿宋" w:eastAsia="仿宋" w:cs="仿宋"/>
          <w:color w:val="000000"/>
          <w:sz w:val="32"/>
        </w:rPr>
        <w:t>主板</w:t>
      </w:r>
      <w:r>
        <w:rPr>
          <w:rFonts w:hint="eastAsia" w:ascii="仿宋" w:hAnsi="仿宋" w:eastAsia="仿宋" w:cs="仿宋"/>
          <w:color w:val="000000"/>
          <w:sz w:val="32"/>
          <w:lang w:eastAsia="zh-CN"/>
        </w:rPr>
        <w:t>、</w:t>
      </w:r>
      <w:r>
        <w:rPr>
          <w:rFonts w:hint="eastAsia" w:ascii="仿宋" w:hAnsi="仿宋" w:eastAsia="仿宋" w:cs="仿宋"/>
          <w:color w:val="000000"/>
          <w:sz w:val="32"/>
        </w:rPr>
        <w:t>科创板</w:t>
      </w:r>
      <w:r>
        <w:rPr>
          <w:rFonts w:hint="eastAsia" w:ascii="仿宋" w:hAnsi="仿宋" w:eastAsia="仿宋" w:cs="仿宋"/>
          <w:color w:val="000000"/>
          <w:sz w:val="32"/>
          <w:lang w:eastAsia="zh-CN"/>
        </w:rPr>
        <w:t>、</w:t>
      </w:r>
      <w:r>
        <w:rPr>
          <w:rFonts w:hint="eastAsia" w:ascii="仿宋" w:hAnsi="仿宋" w:eastAsia="仿宋" w:cs="仿宋"/>
          <w:color w:val="000000"/>
          <w:sz w:val="32"/>
        </w:rPr>
        <w:t>创业板</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北交所</w:t>
      </w:r>
      <w:r>
        <w:rPr>
          <w:rFonts w:hint="eastAsia" w:ascii="仿宋" w:hAnsi="仿宋" w:eastAsia="仿宋" w:cs="仿宋"/>
          <w:color w:val="000000"/>
          <w:sz w:val="32"/>
        </w:rPr>
        <w:t>上市的企业给予300万元奖励。</w:t>
      </w:r>
      <w:r>
        <w:rPr>
          <w:rFonts w:hint="eastAsia" w:ascii="仿宋" w:hAnsi="仿宋" w:eastAsia="仿宋" w:cs="仿宋"/>
          <w:b w:val="0"/>
          <w:bCs w:val="0"/>
          <w:sz w:val="32"/>
          <w:szCs w:val="32"/>
          <w:lang w:val="en-US" w:eastAsia="zh-CN"/>
        </w:rPr>
        <w:t>对新落户示范区的上市企业或区内企业并购重组异地上市后</w:t>
      </w:r>
      <w:r>
        <w:rPr>
          <w:rFonts w:hint="eastAsia" w:ascii="仿宋" w:hAnsi="仿宋" w:eastAsia="仿宋" w:cs="仿宋"/>
          <w:color w:val="000000"/>
          <w:sz w:val="32"/>
          <w:lang w:val="en-US" w:eastAsia="zh-CN"/>
        </w:rPr>
        <w:t>，将该上市公司迁至示范区，视同新上市企业予以奖励。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22"/>
          <w:lang w:val="en-US" w:eastAsia="zh-CN" w:bidi="ar-SA"/>
        </w:rPr>
      </w:pPr>
      <w:r>
        <w:rPr>
          <w:rFonts w:hint="eastAsia" w:ascii="仿宋" w:hAnsi="仿宋" w:eastAsia="仿宋" w:cs="仿宋"/>
          <w:color w:val="000000"/>
          <w:kern w:val="0"/>
          <w:sz w:val="32"/>
          <w:szCs w:val="22"/>
          <w:lang w:val="en-US" w:eastAsia="zh-CN" w:bidi="ar-SA"/>
        </w:rPr>
        <w:t>（二）企业到香港交易所、美国纳斯达克市场、伦敦证券交易所等境外主要交易场所上市，募集资金净额达到5000万元（含5000万）人民币并将70%及以上募集资金投向示范区项目的，一次性给予200万元奖励。</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u w:val="single"/>
        </w:rPr>
      </w:pPr>
      <w:r>
        <w:rPr>
          <w:rFonts w:hint="eastAsia" w:ascii="仿宋" w:hAnsi="仿宋" w:eastAsia="仿宋" w:cs="仿宋"/>
          <w:color w:val="000000"/>
          <w:kern w:val="0"/>
          <w:sz w:val="32"/>
          <w:szCs w:val="22"/>
          <w:lang w:val="en-US" w:eastAsia="zh-CN" w:bidi="ar-SA"/>
        </w:rPr>
        <w:t>（三）企业在全国中小企业股份转让系统（简称“新三板”）成功挂牌的，一次性给予80万元奖励。企业IPO上市后，补足对应奖励。</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color w:val="000000"/>
          <w:kern w:val="2"/>
          <w:sz w:val="32"/>
          <w:szCs w:val="22"/>
          <w:lang w:val="en-US" w:eastAsia="zh-CN"/>
        </w:rPr>
      </w:pPr>
      <w:r>
        <w:rPr>
          <w:rFonts w:hint="eastAsia" w:ascii="仿宋" w:hAnsi="仿宋" w:eastAsia="仿宋" w:cs="仿宋"/>
          <w:color w:val="000000"/>
          <w:kern w:val="2"/>
          <w:sz w:val="32"/>
          <w:szCs w:val="22"/>
          <w:lang w:eastAsia="zh-CN"/>
        </w:rPr>
        <w:t>（</w:t>
      </w:r>
      <w:r>
        <w:rPr>
          <w:rFonts w:hint="eastAsia" w:ascii="仿宋" w:hAnsi="仿宋" w:eastAsia="仿宋" w:cs="仿宋"/>
          <w:color w:val="000000"/>
          <w:kern w:val="2"/>
          <w:sz w:val="32"/>
          <w:szCs w:val="22"/>
          <w:lang w:val="en-US" w:eastAsia="zh-CN"/>
        </w:rPr>
        <w:t>四</w:t>
      </w:r>
      <w:r>
        <w:rPr>
          <w:rFonts w:hint="eastAsia" w:ascii="仿宋" w:hAnsi="仿宋" w:eastAsia="仿宋" w:cs="仿宋"/>
          <w:color w:val="000000"/>
          <w:kern w:val="2"/>
          <w:sz w:val="32"/>
          <w:szCs w:val="22"/>
          <w:lang w:eastAsia="zh-CN"/>
        </w:rPr>
        <w:t>）</w:t>
      </w:r>
      <w:r>
        <w:rPr>
          <w:rFonts w:hint="eastAsia" w:ascii="仿宋" w:hAnsi="仿宋" w:eastAsia="仿宋" w:cs="仿宋"/>
          <w:color w:val="000000"/>
          <w:kern w:val="2"/>
          <w:sz w:val="32"/>
          <w:szCs w:val="22"/>
        </w:rPr>
        <w:t>企业完成股份制改造并在山西股权交易中心（简称“晋兴板”）成功挂牌的，一次性奖励</w:t>
      </w:r>
      <w:r>
        <w:rPr>
          <w:rFonts w:hint="eastAsia" w:ascii="仿宋" w:hAnsi="仿宋" w:eastAsia="仿宋" w:cs="仿宋"/>
          <w:color w:val="000000"/>
          <w:kern w:val="2"/>
          <w:sz w:val="32"/>
          <w:szCs w:val="22"/>
          <w:lang w:val="en-US" w:eastAsia="zh-CN"/>
        </w:rPr>
        <w:t>1</w:t>
      </w:r>
      <w:r>
        <w:rPr>
          <w:rFonts w:hint="eastAsia" w:ascii="仿宋" w:hAnsi="仿宋" w:eastAsia="仿宋" w:cs="仿宋"/>
          <w:color w:val="000000"/>
          <w:kern w:val="2"/>
          <w:sz w:val="32"/>
          <w:szCs w:val="22"/>
        </w:rPr>
        <w:t>0万元。</w:t>
      </w:r>
      <w:r>
        <w:rPr>
          <w:rFonts w:hint="eastAsia" w:ascii="仿宋" w:hAnsi="仿宋" w:eastAsia="仿宋" w:cs="仿宋"/>
          <w:color w:val="000000"/>
          <w:kern w:val="2"/>
          <w:sz w:val="32"/>
          <w:szCs w:val="22"/>
          <w:lang w:val="en-US" w:eastAsia="zh-CN"/>
        </w:rPr>
        <w:t>区内晋兴版企业新三板挂牌或IPO上市后，补足对应奖励。</w:t>
      </w:r>
    </w:p>
    <w:p>
      <w:pPr>
        <w:widowControl/>
        <w:shd w:val="clear" w:color="auto" w:fill="FFFFFF"/>
        <w:spacing w:line="600" w:lineRule="exact"/>
        <w:ind w:firstLine="2227" w:firstLineChars="696"/>
        <w:jc w:val="both"/>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 xml:space="preserve">第五章  </w:t>
      </w:r>
      <w:r>
        <w:rPr>
          <w:rFonts w:hint="eastAsia" w:ascii="黑体" w:hAnsi="黑体" w:eastAsia="黑体" w:cs="黑体"/>
          <w:kern w:val="0"/>
          <w:sz w:val="32"/>
          <w:szCs w:val="32"/>
        </w:rPr>
        <w:t>促进科技金融结合</w:t>
      </w:r>
    </w:p>
    <w:p>
      <w:pPr>
        <w:pStyle w:val="2"/>
        <w:spacing w:line="600" w:lineRule="exact"/>
        <w:ind w:left="0" w:leftChars="0" w:firstLine="640"/>
        <w:jc w:val="both"/>
        <w:rPr>
          <w:rFonts w:hint="eastAsia" w:ascii="仿宋" w:hAnsi="仿宋" w:cs="仿宋"/>
        </w:rPr>
      </w:pPr>
      <w:r>
        <w:rPr>
          <w:rFonts w:hint="eastAsia" w:ascii="仿宋" w:hAnsi="仿宋" w:eastAsia="仿宋" w:cs="仿宋"/>
          <w:b/>
          <w:bCs/>
          <w:color w:val="000000"/>
          <w:kern w:val="2"/>
          <w:sz w:val="32"/>
          <w:szCs w:val="22"/>
          <w:u w:val="none"/>
          <w:lang w:val="en-US" w:eastAsia="zh-CN" w:bidi="ar-SA"/>
        </w:rPr>
        <w:t>第十</w:t>
      </w:r>
      <w:r>
        <w:rPr>
          <w:rFonts w:hint="eastAsia" w:ascii="仿宋" w:hAnsi="仿宋" w:cs="仿宋"/>
          <w:b/>
          <w:bCs/>
          <w:color w:val="000000"/>
          <w:kern w:val="0"/>
          <w:sz w:val="32"/>
          <w:szCs w:val="22"/>
          <w:lang w:val="en-US" w:eastAsia="zh-CN" w:bidi="ar-SA"/>
        </w:rPr>
        <w:t>六</w:t>
      </w:r>
      <w:r>
        <w:rPr>
          <w:rFonts w:hint="eastAsia" w:ascii="仿宋" w:hAnsi="仿宋" w:eastAsia="仿宋" w:cs="仿宋"/>
          <w:b/>
          <w:bCs/>
          <w:color w:val="000000"/>
          <w:kern w:val="2"/>
          <w:sz w:val="32"/>
          <w:szCs w:val="22"/>
          <w:u w:val="none"/>
          <w:lang w:val="en-US" w:eastAsia="zh-CN" w:bidi="ar-SA"/>
        </w:rPr>
        <w:t>条</w:t>
      </w:r>
      <w:r>
        <w:rPr>
          <w:rFonts w:hint="eastAsia" w:ascii="仿宋" w:hAnsi="仿宋" w:cs="仿宋"/>
          <w:color w:val="000000"/>
          <w:lang w:val="en-US" w:eastAsia="zh-CN"/>
        </w:rPr>
        <w:t xml:space="preserve"> </w:t>
      </w:r>
      <w:r>
        <w:rPr>
          <w:rFonts w:hint="eastAsia" w:ascii="仿宋" w:hAnsi="仿宋" w:cs="仿宋"/>
          <w:color w:val="000000"/>
          <w:lang w:eastAsia="zh-CN"/>
        </w:rPr>
        <w:t>充分发挥</w:t>
      </w:r>
      <w:r>
        <w:rPr>
          <w:rFonts w:hint="eastAsia" w:ascii="仿宋" w:hAnsi="仿宋" w:cs="仿宋"/>
          <w:color w:val="000000"/>
        </w:rPr>
        <w:t>示范区金融服务平台</w:t>
      </w:r>
      <w:r>
        <w:rPr>
          <w:rFonts w:hint="eastAsia" w:ascii="仿宋" w:hAnsi="仿宋" w:cs="仿宋"/>
          <w:color w:val="000000"/>
          <w:lang w:eastAsia="zh-CN"/>
        </w:rPr>
        <w:t>的作用</w:t>
      </w:r>
      <w:r>
        <w:rPr>
          <w:rFonts w:hint="eastAsia" w:ascii="仿宋" w:hAnsi="仿宋" w:cs="仿宋"/>
          <w:color w:val="000000"/>
        </w:rPr>
        <w:t>，搭建示范区企业与金融机构常态交流平台，为示范区企业提供政策宣导、企业投融资服务、金融产品服务、财税顾问服务、信用服务、金融人才服务、商务服务等综合服务。</w:t>
      </w:r>
    </w:p>
    <w:p>
      <w:pPr>
        <w:widowControl/>
        <w:shd w:val="clear" w:color="auto" w:fill="FFFFFF"/>
        <w:spacing w:line="600" w:lineRule="exact"/>
        <w:ind w:firstLine="642" w:firstLineChars="200"/>
        <w:jc w:val="both"/>
        <w:rPr>
          <w:rFonts w:hint="eastAsia" w:ascii="仿宋" w:hAnsi="仿宋" w:eastAsia="仿宋" w:cs="仿宋"/>
          <w:color w:val="000000"/>
          <w:sz w:val="32"/>
        </w:rPr>
      </w:pPr>
      <w:r>
        <w:rPr>
          <w:rFonts w:hint="eastAsia" w:ascii="仿宋" w:hAnsi="仿宋" w:eastAsia="仿宋" w:cs="仿宋"/>
          <w:b/>
          <w:bCs/>
          <w:color w:val="000000"/>
          <w:kern w:val="2"/>
          <w:sz w:val="32"/>
          <w:szCs w:val="22"/>
          <w:u w:val="none"/>
          <w:lang w:val="en-US" w:eastAsia="zh-CN" w:bidi="ar-SA"/>
        </w:rPr>
        <w:t>第十七条</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lang w:eastAsia="zh-CN"/>
        </w:rPr>
        <w:t>充分发挥</w:t>
      </w:r>
      <w:r>
        <w:rPr>
          <w:rFonts w:hint="eastAsia" w:ascii="仿宋" w:hAnsi="仿宋" w:eastAsia="仿宋" w:cs="仿宋"/>
          <w:color w:val="000000"/>
          <w:sz w:val="32"/>
        </w:rPr>
        <w:t>示范区</w:t>
      </w:r>
      <w:r>
        <w:rPr>
          <w:rFonts w:hint="eastAsia" w:ascii="仿宋" w:hAnsi="仿宋" w:eastAsia="仿宋" w:cs="仿宋"/>
          <w:color w:val="000000"/>
          <w:sz w:val="32"/>
          <w:lang w:eastAsia="zh-CN"/>
        </w:rPr>
        <w:t>政府</w:t>
      </w:r>
      <w:r>
        <w:rPr>
          <w:rFonts w:hint="eastAsia" w:ascii="仿宋" w:hAnsi="仿宋" w:eastAsia="仿宋" w:cs="仿宋"/>
          <w:color w:val="000000"/>
          <w:kern w:val="0"/>
          <w:sz w:val="32"/>
          <w:szCs w:val="22"/>
          <w:lang w:val="en-US" w:eastAsia="zh-CN" w:bidi="ar-SA"/>
        </w:rPr>
        <w:t>引导基金的作用，按市场化运作方式，吸引风险投资机构、商业银行、保险投资机构以及其他社会资金，共同投资示范区科技创新项目。</w:t>
      </w:r>
    </w:p>
    <w:p>
      <w:pPr>
        <w:widowControl/>
        <w:shd w:val="clear" w:color="auto" w:fill="FFFFFF"/>
        <w:spacing w:line="600" w:lineRule="exact"/>
        <w:ind w:firstLine="642" w:firstLineChars="200"/>
        <w:jc w:val="both"/>
        <w:rPr>
          <w:rFonts w:hint="eastAsia" w:ascii="仿宋" w:hAnsi="仿宋" w:eastAsia="仿宋" w:cs="仿宋"/>
          <w:color w:val="000000"/>
          <w:kern w:val="0"/>
          <w:sz w:val="32"/>
          <w:szCs w:val="22"/>
          <w:lang w:val="en-US" w:eastAsia="zh-CN" w:bidi="ar-SA"/>
        </w:rPr>
      </w:pPr>
      <w:r>
        <w:rPr>
          <w:rFonts w:hint="eastAsia" w:ascii="仿宋" w:hAnsi="仿宋" w:eastAsia="仿宋" w:cs="仿宋"/>
          <w:b/>
          <w:bCs/>
          <w:color w:val="000000"/>
          <w:kern w:val="2"/>
          <w:sz w:val="32"/>
          <w:szCs w:val="22"/>
          <w:u w:val="none"/>
          <w:lang w:val="en-US" w:eastAsia="zh-CN" w:bidi="ar-SA"/>
        </w:rPr>
        <w:t>第十八条</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鼓励发展金融大数据业务，对于在示范区提供金融类数据、企业</w:t>
      </w:r>
      <w:r>
        <w:rPr>
          <w:rFonts w:hint="eastAsia" w:ascii="仿宋" w:hAnsi="仿宋" w:eastAsia="仿宋" w:cs="仿宋"/>
          <w:color w:val="000000"/>
          <w:kern w:val="0"/>
          <w:sz w:val="32"/>
          <w:szCs w:val="22"/>
          <w:lang w:val="en-US" w:eastAsia="zh-CN" w:bidi="ar-SA"/>
        </w:rPr>
        <w:t>征信、信用评级、金融专业IDC机房等服务的金融第三方服务机构，通过政府购买服务等方式予以支持。</w:t>
      </w:r>
    </w:p>
    <w:p>
      <w:pPr>
        <w:widowControl/>
        <w:shd w:val="clear" w:color="auto" w:fill="FFFFFF"/>
        <w:spacing w:line="600" w:lineRule="exact"/>
        <w:ind w:firstLine="642" w:firstLineChars="200"/>
        <w:jc w:val="both"/>
        <w:rPr>
          <w:rFonts w:hint="eastAsia" w:ascii="仿宋" w:hAnsi="仿宋" w:eastAsia="仿宋" w:cs="仿宋"/>
          <w:color w:val="000000"/>
          <w:sz w:val="32"/>
        </w:rPr>
      </w:pPr>
      <w:r>
        <w:rPr>
          <w:rFonts w:hint="eastAsia" w:ascii="仿宋" w:hAnsi="仿宋" w:eastAsia="仿宋" w:cs="仿宋"/>
          <w:b/>
          <w:bCs/>
          <w:color w:val="000000"/>
          <w:kern w:val="2"/>
          <w:sz w:val="32"/>
          <w:szCs w:val="22"/>
          <w:u w:val="none"/>
          <w:lang w:val="en-US" w:eastAsia="zh-CN" w:bidi="ar-SA"/>
        </w:rPr>
        <w:t>第十九条</w:t>
      </w:r>
      <w:r>
        <w:rPr>
          <w:rFonts w:hint="eastAsia" w:ascii="仿宋" w:hAnsi="仿宋" w:eastAsia="仿宋" w:cs="仿宋"/>
          <w:color w:val="000000"/>
          <w:kern w:val="0"/>
          <w:sz w:val="32"/>
          <w:szCs w:val="22"/>
          <w:lang w:val="en-US" w:eastAsia="zh-CN" w:bidi="ar-SA"/>
        </w:rPr>
        <w:t xml:space="preserve"> </w:t>
      </w:r>
      <w:r>
        <w:rPr>
          <w:rFonts w:hint="eastAsia" w:ascii="仿宋" w:hAnsi="仿宋" w:eastAsia="仿宋" w:cs="仿宋"/>
          <w:color w:val="000000"/>
          <w:sz w:val="32"/>
        </w:rPr>
        <w:t>鼓励金融机构制定科技金融发展规划，积极争取政策支持和资源配置，大力推动区内科技型企业发展。引导金融机构创新业务品种，建立健全信用体系，完善无形资产质押融资的风险补偿机制，鼓励金融机构开展知识产权质押贷款、股权质押贷款等新型信贷业务，支持金融机构综合运用买方信贷、卖方信贷、贸易融资、融资租赁等方式，加大对区内科技型企业的信贷支持力度。</w:t>
      </w:r>
    </w:p>
    <w:p>
      <w:pPr>
        <w:ind w:firstLine="642" w:firstLineChars="200"/>
        <w:rPr>
          <w:rFonts w:hint="eastAsia"/>
          <w:lang w:val="en-US" w:eastAsia="zh-CN"/>
        </w:rPr>
      </w:pPr>
      <w:r>
        <w:rPr>
          <w:rFonts w:hint="eastAsia" w:ascii="仿宋" w:hAnsi="仿宋" w:eastAsia="仿宋" w:cs="仿宋"/>
          <w:b/>
          <w:bCs/>
          <w:color w:val="000000"/>
          <w:sz w:val="32"/>
          <w:lang w:val="en-US" w:eastAsia="zh-CN"/>
        </w:rPr>
        <w:t>第</w:t>
      </w:r>
      <w:r>
        <w:rPr>
          <w:rFonts w:hint="eastAsia" w:ascii="仿宋" w:hAnsi="仿宋" w:eastAsia="仿宋" w:cs="仿宋"/>
          <w:b/>
          <w:bCs/>
          <w:sz w:val="32"/>
          <w:lang w:val="en-US" w:eastAsia="zh-CN"/>
        </w:rPr>
        <w:t>二十</w:t>
      </w:r>
      <w:r>
        <w:rPr>
          <w:rFonts w:hint="eastAsia" w:ascii="仿宋" w:hAnsi="仿宋" w:eastAsia="仿宋" w:cs="仿宋"/>
          <w:b/>
          <w:bCs/>
          <w:color w:val="000000"/>
          <w:sz w:val="32"/>
          <w:lang w:val="en-US" w:eastAsia="zh-CN"/>
        </w:rPr>
        <w:t xml:space="preserve">条 </w:t>
      </w:r>
      <w:r>
        <w:rPr>
          <w:rFonts w:hint="eastAsia" w:ascii="仿宋" w:hAnsi="仿宋" w:eastAsia="仿宋" w:cs="仿宋"/>
          <w:color w:val="000000"/>
          <w:sz w:val="32"/>
          <w:lang w:eastAsia="zh-CN"/>
        </w:rPr>
        <w:t>充分发挥</w:t>
      </w:r>
      <w:r>
        <w:rPr>
          <w:rFonts w:hint="eastAsia" w:ascii="仿宋" w:hAnsi="仿宋" w:eastAsia="仿宋" w:cs="仿宋"/>
          <w:color w:val="000000"/>
          <w:sz w:val="32"/>
        </w:rPr>
        <w:t>5000万元风险补偿资金</w:t>
      </w:r>
      <w:r>
        <w:rPr>
          <w:rFonts w:hint="eastAsia" w:ascii="仿宋" w:hAnsi="仿宋" w:eastAsia="仿宋" w:cs="仿宋"/>
          <w:color w:val="000000"/>
          <w:sz w:val="32"/>
          <w:lang w:eastAsia="zh-CN"/>
        </w:rPr>
        <w:t>的作用</w:t>
      </w:r>
      <w:r>
        <w:rPr>
          <w:rFonts w:hint="eastAsia" w:ascii="仿宋" w:hAnsi="仿宋" w:eastAsia="仿宋" w:cs="仿宋"/>
          <w:color w:val="000000"/>
          <w:sz w:val="32"/>
        </w:rPr>
        <w:t>，用于弥补基金、银行、融资担保公司等金融机构对示范区中小微企业或科技成果转化项目资金支持过程中发生的资金损失，</w:t>
      </w:r>
      <w:r>
        <w:rPr>
          <w:rFonts w:hint="eastAsia" w:ascii="仿宋" w:hAnsi="仿宋" w:eastAsia="仿宋" w:cs="仿宋"/>
          <w:color w:val="000000"/>
          <w:sz w:val="32"/>
          <w:szCs w:val="32"/>
        </w:rPr>
        <w:t>按照企业投资法定程序核销额或贷款本金法定程序核销额</w:t>
      </w:r>
      <w:r>
        <w:rPr>
          <w:rFonts w:hint="eastAsia" w:ascii="仿宋" w:hAnsi="仿宋" w:eastAsia="仿宋" w:cs="仿宋"/>
          <w:color w:val="000000"/>
          <w:sz w:val="32"/>
          <w:szCs w:val="32"/>
          <w:lang w:eastAsia="zh-CN"/>
        </w:rPr>
        <w:t>予以</w:t>
      </w:r>
      <w:r>
        <w:rPr>
          <w:rFonts w:hint="eastAsia" w:ascii="仿宋" w:hAnsi="仿宋" w:eastAsia="仿宋" w:cs="仿宋"/>
          <w:color w:val="000000"/>
          <w:sz w:val="32"/>
          <w:szCs w:val="32"/>
        </w:rPr>
        <w:t>补贴</w:t>
      </w:r>
      <w:r>
        <w:rPr>
          <w:rFonts w:hint="eastAsia" w:ascii="仿宋" w:hAnsi="仿宋" w:eastAsia="仿宋" w:cs="仿宋"/>
          <w:color w:val="000000"/>
          <w:sz w:val="32"/>
        </w:rPr>
        <w:t>，</w:t>
      </w:r>
      <w:r>
        <w:rPr>
          <w:rFonts w:hint="eastAsia" w:ascii="仿宋" w:hAnsi="仿宋" w:eastAsia="仿宋" w:cs="仿宋"/>
          <w:color w:val="000000"/>
          <w:sz w:val="32"/>
          <w:lang w:eastAsia="zh-CN"/>
        </w:rPr>
        <w:t>最高不超过</w:t>
      </w:r>
      <w:r>
        <w:rPr>
          <w:rFonts w:hint="eastAsia" w:ascii="仿宋" w:hAnsi="仿宋" w:eastAsia="仿宋" w:cs="仿宋"/>
          <w:color w:val="000000"/>
          <w:sz w:val="32"/>
          <w:lang w:val="en-US" w:eastAsia="zh-CN"/>
        </w:rPr>
        <w:t>30%，</w:t>
      </w:r>
      <w:r>
        <w:rPr>
          <w:rFonts w:hint="eastAsia" w:ascii="仿宋" w:hAnsi="仿宋" w:eastAsia="仿宋" w:cs="仿宋"/>
          <w:color w:val="000000"/>
          <w:sz w:val="32"/>
        </w:rPr>
        <w:t>单笔最高</w:t>
      </w:r>
      <w:r>
        <w:rPr>
          <w:rFonts w:hint="eastAsia" w:ascii="仿宋" w:hAnsi="仿宋" w:eastAsia="仿宋" w:cs="仿宋"/>
          <w:color w:val="000000"/>
          <w:sz w:val="32"/>
          <w:lang w:val="en-US" w:eastAsia="zh-CN"/>
        </w:rPr>
        <w:t>3</w:t>
      </w:r>
      <w:r>
        <w:rPr>
          <w:rFonts w:hint="eastAsia" w:ascii="仿宋" w:hAnsi="仿宋" w:eastAsia="仿宋" w:cs="仿宋"/>
          <w:color w:val="000000"/>
          <w:sz w:val="32"/>
        </w:rPr>
        <w:t>00万元。</w:t>
      </w:r>
    </w:p>
    <w:p>
      <w:pPr>
        <w:spacing w:line="600" w:lineRule="exact"/>
        <w:ind w:firstLine="642" w:firstLineChars="200"/>
        <w:jc w:val="both"/>
        <w:rPr>
          <w:rFonts w:hint="eastAsia" w:ascii="仿宋" w:hAnsi="仿宋" w:eastAsia="仿宋" w:cs="仿宋"/>
          <w:color w:val="000000"/>
          <w:sz w:val="32"/>
        </w:rPr>
      </w:pPr>
      <w:r>
        <w:rPr>
          <w:rFonts w:hint="eastAsia" w:ascii="仿宋" w:hAnsi="仿宋" w:eastAsia="仿宋" w:cs="仿宋"/>
          <w:b/>
          <w:bCs/>
          <w:color w:val="000000"/>
          <w:sz w:val="32"/>
          <w:lang w:val="en-US" w:eastAsia="zh-CN"/>
        </w:rPr>
        <w:t>第二</w:t>
      </w:r>
      <w:r>
        <w:rPr>
          <w:rFonts w:hint="eastAsia" w:ascii="仿宋" w:hAnsi="仿宋" w:eastAsia="仿宋" w:cs="仿宋"/>
          <w:b/>
          <w:bCs/>
          <w:sz w:val="32"/>
          <w:lang w:val="en-US" w:eastAsia="zh-CN"/>
        </w:rPr>
        <w:t>十一</w:t>
      </w:r>
      <w:r>
        <w:rPr>
          <w:rFonts w:hint="eastAsia" w:ascii="仿宋" w:hAnsi="仿宋" w:eastAsia="仿宋" w:cs="仿宋"/>
          <w:b/>
          <w:bCs/>
          <w:color w:val="000000"/>
          <w:sz w:val="32"/>
          <w:lang w:val="en-US" w:eastAsia="zh-CN"/>
        </w:rPr>
        <w:t>条</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lang w:eastAsia="zh-CN"/>
        </w:rPr>
        <w:t>充分发挥</w:t>
      </w:r>
      <w:r>
        <w:rPr>
          <w:rFonts w:hint="eastAsia" w:ascii="仿宋" w:hAnsi="仿宋" w:eastAsia="仿宋" w:cs="仿宋"/>
          <w:color w:val="000000"/>
          <w:sz w:val="32"/>
        </w:rPr>
        <w:t>3000</w:t>
      </w:r>
      <w:r>
        <w:rPr>
          <w:rFonts w:hint="eastAsia" w:ascii="仿宋" w:hAnsi="仿宋" w:eastAsia="仿宋" w:cs="仿宋"/>
          <w:sz w:val="32"/>
        </w:rPr>
        <w:t>万元应急周转保障资金</w:t>
      </w:r>
      <w:r>
        <w:rPr>
          <w:rFonts w:hint="eastAsia" w:ascii="仿宋" w:hAnsi="仿宋" w:eastAsia="仿宋" w:cs="仿宋"/>
          <w:sz w:val="32"/>
          <w:lang w:eastAsia="zh-CN"/>
        </w:rPr>
        <w:t>的作用</w:t>
      </w:r>
      <w:r>
        <w:rPr>
          <w:rFonts w:hint="eastAsia" w:ascii="仿宋" w:hAnsi="仿宋" w:eastAsia="仿宋" w:cs="仿宋"/>
          <w:sz w:val="32"/>
        </w:rPr>
        <w:t>，为符合示范区产业政策、银行信贷条件、生产经营正常的区内企业，在贷款即将到期但足额还贷出现暂时困难时，提供短期资金支持。</w:t>
      </w:r>
    </w:p>
    <w:p>
      <w:pPr>
        <w:spacing w:line="600" w:lineRule="exact"/>
        <w:ind w:firstLine="642" w:firstLineChars="200"/>
        <w:jc w:val="both"/>
        <w:rPr>
          <w:rFonts w:hint="eastAsia" w:ascii="仿宋" w:hAnsi="仿宋" w:eastAsia="仿宋" w:cs="仿宋"/>
          <w:sz w:val="32"/>
        </w:rPr>
      </w:pPr>
      <w:r>
        <w:rPr>
          <w:rFonts w:hint="eastAsia" w:ascii="仿宋" w:hAnsi="仿宋" w:eastAsia="仿宋" w:cs="仿宋"/>
          <w:b/>
          <w:bCs/>
          <w:sz w:val="32"/>
          <w:lang w:val="en-US" w:eastAsia="zh-CN"/>
        </w:rPr>
        <w:t>第</w:t>
      </w:r>
      <w:r>
        <w:rPr>
          <w:rFonts w:hint="eastAsia" w:ascii="仿宋" w:hAnsi="仿宋" w:eastAsia="仿宋" w:cs="仿宋"/>
          <w:b/>
          <w:bCs/>
          <w:color w:val="000000"/>
          <w:sz w:val="32"/>
          <w:lang w:val="en-US" w:eastAsia="zh-CN"/>
        </w:rPr>
        <w:t>二</w:t>
      </w:r>
      <w:r>
        <w:rPr>
          <w:rFonts w:hint="eastAsia" w:ascii="仿宋" w:hAnsi="仿宋" w:eastAsia="仿宋" w:cs="仿宋"/>
          <w:b/>
          <w:bCs/>
          <w:sz w:val="32"/>
          <w:lang w:val="en-US" w:eastAsia="zh-CN"/>
        </w:rPr>
        <w:t xml:space="preserve">十二条 </w:t>
      </w:r>
      <w:r>
        <w:rPr>
          <w:rFonts w:hint="eastAsia" w:ascii="仿宋" w:hAnsi="仿宋" w:eastAsia="仿宋" w:cs="仿宋"/>
          <w:sz w:val="32"/>
        </w:rPr>
        <w:t>防范化解金融风险，打击治理金融乱象，健全金融监管制度，加强与金融监管部门协调机制。针对各类金融创新，从源头管控新兴金融风险点，维护金融安全，保护金融消费者的长远和根本利益。</w:t>
      </w:r>
    </w:p>
    <w:p>
      <w:pPr>
        <w:widowControl/>
        <w:shd w:val="clear" w:color="auto" w:fill="FFFFFF"/>
        <w:spacing w:line="600" w:lineRule="exact"/>
        <w:ind w:firstLine="640" w:firstLineChars="200"/>
        <w:jc w:val="both"/>
        <w:rPr>
          <w:rFonts w:hint="eastAsia" w:ascii="仿宋" w:hAnsi="仿宋" w:eastAsia="仿宋" w:cs="仿宋"/>
          <w:color w:val="000000"/>
          <w:sz w:val="32"/>
        </w:rPr>
      </w:pPr>
      <w:r>
        <w:rPr>
          <w:rFonts w:hint="eastAsia" w:ascii="仿宋" w:hAnsi="仿宋" w:eastAsia="仿宋" w:cs="仿宋"/>
          <w:sz w:val="32"/>
          <w:lang w:val="en-US" w:eastAsia="zh-CN"/>
        </w:rPr>
        <w:t xml:space="preserve"> </w:t>
      </w:r>
    </w:p>
    <w:p>
      <w:pPr>
        <w:widowControl/>
        <w:shd w:val="clear" w:color="auto" w:fill="FFFFFF"/>
        <w:spacing w:line="600" w:lineRule="exact"/>
        <w:ind w:firstLine="2867" w:firstLineChars="896"/>
        <w:jc w:val="both"/>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第六章  </w:t>
      </w:r>
      <w:r>
        <w:rPr>
          <w:rFonts w:hint="eastAsia" w:ascii="黑体" w:hAnsi="黑体" w:eastAsia="黑体" w:cs="黑体"/>
          <w:kern w:val="0"/>
          <w:sz w:val="32"/>
          <w:szCs w:val="32"/>
        </w:rPr>
        <w:t>附</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则</w:t>
      </w:r>
    </w:p>
    <w:p>
      <w:pPr>
        <w:ind w:firstLine="642" w:firstLineChars="200"/>
        <w:rPr>
          <w:rFonts w:hint="eastAsia" w:ascii="仿宋" w:hAnsi="仿宋" w:eastAsia="仿宋" w:cs="仿宋"/>
          <w:b/>
          <w:bCs/>
          <w:color w:val="0000FF"/>
          <w:sz w:val="32"/>
          <w:lang w:val="en-US" w:eastAsia="zh-CN"/>
        </w:rPr>
      </w:pPr>
      <w:r>
        <w:rPr>
          <w:rFonts w:hint="eastAsia" w:ascii="仿宋" w:hAnsi="仿宋" w:eastAsia="仿宋" w:cs="仿宋"/>
          <w:b/>
          <w:bCs/>
          <w:sz w:val="32"/>
          <w:lang w:val="en-US" w:eastAsia="zh-CN"/>
        </w:rPr>
        <w:t>第二十三条</w:t>
      </w:r>
      <w:r>
        <w:rPr>
          <w:rFonts w:hint="eastAsia" w:ascii="仿宋" w:hAnsi="仿宋" w:eastAsia="仿宋" w:cs="仿宋"/>
          <w:b/>
          <w:bCs/>
          <w:color w:val="0000FF"/>
          <w:sz w:val="32"/>
          <w:lang w:val="en-US" w:eastAsia="zh-CN"/>
        </w:rPr>
        <w:t xml:space="preserve"> </w:t>
      </w:r>
      <w:r>
        <w:rPr>
          <w:rFonts w:hint="eastAsia" w:ascii="仿宋_GB2312" w:hAnsi="仿宋_GB2312" w:eastAsia="仿宋_GB2312" w:cs="仿宋_GB2312"/>
          <w:color w:val="auto"/>
          <w:kern w:val="2"/>
          <w:sz w:val="32"/>
          <w:szCs w:val="32"/>
          <w:lang w:val="en-US" w:eastAsia="zh-CN" w:bidi="ar-SA"/>
        </w:rPr>
        <w:t>奖励期限自金融机构首次申请政策年度起连续5个会计年度，如其中一年无法达到要求，奖励年限不予延后。2022年度前已享受示范区同类奖励政策的，期间自其首次享受政策年起算。</w:t>
      </w:r>
    </w:p>
    <w:p>
      <w:pPr>
        <w:pStyle w:val="2"/>
        <w:ind w:left="0" w:leftChars="0" w:firstLine="642" w:firstLineChars="200"/>
        <w:jc w:val="both"/>
        <w:rPr>
          <w:rFonts w:hint="eastAsia" w:ascii="仿宋" w:hAnsi="仿宋" w:eastAsia="仿宋" w:cs="仿宋"/>
          <w:color w:val="000000"/>
          <w:kern w:val="2"/>
          <w:sz w:val="32"/>
          <w:szCs w:val="22"/>
          <w:lang w:val="en-US" w:eastAsia="zh-CN" w:bidi="ar-SA"/>
        </w:rPr>
      </w:pPr>
      <w:r>
        <w:rPr>
          <w:rFonts w:hint="eastAsia" w:ascii="仿宋" w:hAnsi="仿宋" w:eastAsia="仿宋" w:cs="仿宋"/>
          <w:b/>
          <w:bCs/>
          <w:color w:val="000000"/>
          <w:sz w:val="32"/>
          <w:lang w:val="en-US" w:eastAsia="zh-CN"/>
        </w:rPr>
        <w:t>第二</w:t>
      </w:r>
      <w:r>
        <w:rPr>
          <w:rFonts w:hint="eastAsia" w:ascii="仿宋" w:hAnsi="仿宋" w:eastAsia="仿宋" w:cs="仿宋"/>
          <w:b/>
          <w:bCs/>
          <w:sz w:val="32"/>
          <w:lang w:val="en-US" w:eastAsia="zh-CN"/>
        </w:rPr>
        <w:t>十</w:t>
      </w:r>
      <w:r>
        <w:rPr>
          <w:rFonts w:hint="eastAsia" w:ascii="仿宋" w:hAnsi="仿宋" w:cs="仿宋"/>
          <w:b/>
          <w:bCs/>
          <w:sz w:val="32"/>
          <w:lang w:val="en-US" w:eastAsia="zh-CN"/>
        </w:rPr>
        <w:t>四</w:t>
      </w:r>
      <w:r>
        <w:rPr>
          <w:rFonts w:hint="eastAsia" w:ascii="仿宋" w:hAnsi="仿宋" w:eastAsia="仿宋" w:cs="仿宋"/>
          <w:b/>
          <w:bCs/>
          <w:color w:val="000000"/>
          <w:sz w:val="32"/>
          <w:lang w:val="en-US" w:eastAsia="zh-CN"/>
        </w:rPr>
        <w:t>条</w:t>
      </w:r>
      <w:r>
        <w:rPr>
          <w:rFonts w:hint="eastAsia" w:ascii="仿宋" w:hAnsi="仿宋" w:cs="仿宋"/>
          <w:b/>
          <w:bCs/>
          <w:color w:val="000000"/>
          <w:sz w:val="32"/>
          <w:lang w:val="en-US" w:eastAsia="zh-CN"/>
        </w:rPr>
        <w:t xml:space="preserve"> </w:t>
      </w:r>
      <w:r>
        <w:rPr>
          <w:rFonts w:hint="eastAsia" w:ascii="仿宋" w:hAnsi="仿宋" w:eastAsia="仿宋" w:cs="仿宋"/>
          <w:color w:val="000000"/>
          <w:kern w:val="2"/>
          <w:sz w:val="32"/>
          <w:szCs w:val="22"/>
          <w:lang w:val="en-US" w:eastAsia="zh-CN" w:bidi="ar-SA"/>
        </w:rPr>
        <w:t>获得</w:t>
      </w:r>
      <w:r>
        <w:rPr>
          <w:rFonts w:hint="eastAsia" w:ascii="仿宋" w:hAnsi="仿宋" w:cs="仿宋"/>
          <w:color w:val="000000"/>
          <w:kern w:val="2"/>
          <w:sz w:val="32"/>
          <w:szCs w:val="22"/>
          <w:lang w:val="en-US" w:eastAsia="zh-CN" w:bidi="ar-SA"/>
        </w:rPr>
        <w:t>房屋类</w:t>
      </w:r>
      <w:r>
        <w:rPr>
          <w:rFonts w:hint="eastAsia" w:ascii="仿宋" w:hAnsi="仿宋" w:eastAsia="仿宋" w:cs="仿宋"/>
          <w:color w:val="000000"/>
          <w:kern w:val="2"/>
          <w:sz w:val="32"/>
          <w:szCs w:val="22"/>
          <w:lang w:val="en-US" w:eastAsia="zh-CN" w:bidi="ar-SA"/>
        </w:rPr>
        <w:t>补贴的金融机构5年内不得出售或</w:t>
      </w:r>
      <w:r>
        <w:rPr>
          <w:rFonts w:hint="eastAsia" w:ascii="仿宋" w:hAnsi="仿宋" w:cs="仿宋"/>
          <w:color w:val="000000"/>
          <w:kern w:val="2"/>
          <w:sz w:val="32"/>
          <w:szCs w:val="22"/>
          <w:lang w:val="en-US" w:eastAsia="zh-CN" w:bidi="ar-SA"/>
        </w:rPr>
        <w:t>转</w:t>
      </w:r>
      <w:r>
        <w:rPr>
          <w:rFonts w:hint="eastAsia" w:ascii="仿宋" w:hAnsi="仿宋" w:eastAsia="仿宋" w:cs="仿宋"/>
          <w:color w:val="000000"/>
          <w:kern w:val="2"/>
          <w:sz w:val="32"/>
          <w:szCs w:val="22"/>
          <w:lang w:val="en-US" w:eastAsia="zh-CN" w:bidi="ar-SA"/>
        </w:rPr>
        <w:t>租办公用房。金融机构享受自建自用办公用房补贴的，不再享受购房、租房补贴；金融机构享受购房补贴的，不再享受租房补贴。</w:t>
      </w:r>
    </w:p>
    <w:p>
      <w:pPr>
        <w:widowControl/>
        <w:shd w:val="clear" w:color="auto" w:fill="FFFFFF"/>
        <w:spacing w:line="600" w:lineRule="exact"/>
        <w:ind w:firstLine="642" w:firstLineChars="200"/>
        <w:jc w:val="both"/>
        <w:rPr>
          <w:rFonts w:hint="eastAsia" w:ascii="仿宋" w:hAnsi="仿宋" w:eastAsia="仿宋" w:cs="仿宋"/>
          <w:color w:val="0000FF"/>
          <w:sz w:val="32"/>
          <w:lang w:val="en-US" w:eastAsia="zh-CN"/>
        </w:rPr>
      </w:pPr>
      <w:r>
        <w:rPr>
          <w:rFonts w:hint="eastAsia" w:ascii="仿宋" w:hAnsi="仿宋" w:eastAsia="仿宋" w:cs="仿宋"/>
          <w:b/>
          <w:bCs/>
          <w:sz w:val="32"/>
          <w:lang w:val="en-US" w:eastAsia="zh-CN"/>
        </w:rPr>
        <w:t>第</w:t>
      </w:r>
      <w:r>
        <w:rPr>
          <w:rFonts w:hint="eastAsia" w:ascii="仿宋" w:hAnsi="仿宋" w:eastAsia="仿宋" w:cs="仿宋"/>
          <w:b/>
          <w:bCs/>
          <w:color w:val="000000"/>
          <w:sz w:val="32"/>
          <w:lang w:val="en-US" w:eastAsia="zh-CN"/>
        </w:rPr>
        <w:t>二</w:t>
      </w:r>
      <w:r>
        <w:rPr>
          <w:rFonts w:hint="eastAsia" w:ascii="仿宋" w:hAnsi="仿宋" w:eastAsia="仿宋" w:cs="仿宋"/>
          <w:b/>
          <w:bCs/>
          <w:sz w:val="32"/>
          <w:lang w:val="en-US" w:eastAsia="zh-CN"/>
        </w:rPr>
        <w:t>十五条</w:t>
      </w:r>
      <w:r>
        <w:rPr>
          <w:rFonts w:hint="eastAsia" w:ascii="仿宋" w:hAnsi="仿宋" w:eastAsia="仿宋" w:cs="仿宋"/>
          <w:b/>
          <w:bCs/>
          <w:color w:val="000000"/>
          <w:sz w:val="32"/>
          <w:lang w:val="en-US" w:eastAsia="zh-CN"/>
        </w:rPr>
        <w:t xml:space="preserve"> </w:t>
      </w:r>
      <w:r>
        <w:rPr>
          <w:rFonts w:hint="eastAsia" w:ascii="仿宋" w:hAnsi="仿宋" w:eastAsia="仿宋" w:cs="仿宋"/>
          <w:color w:val="000000"/>
          <w:kern w:val="0"/>
          <w:sz w:val="32"/>
          <w:szCs w:val="22"/>
          <w:lang w:val="en-US" w:eastAsia="zh-CN" w:bidi="ar-SA"/>
        </w:rPr>
        <w:t>本办法适用于在示范区注册、纳税的金融机构及地方金融组织，承诺自享受政策年度起持续经营10年以上，期间不改变纳税义务，不得将主营业务和主要经营环节分离出示范区。企业如违反承诺,应主动退回领取的相关奖励资金。</w:t>
      </w:r>
    </w:p>
    <w:p>
      <w:pPr>
        <w:pStyle w:val="2"/>
        <w:ind w:left="0" w:leftChars="0" w:firstLine="640" w:firstLineChars="0"/>
        <w:rPr>
          <w:rFonts w:hint="eastAsia" w:ascii="仿宋" w:hAnsi="仿宋" w:eastAsia="仿宋" w:cs="仿宋"/>
          <w:color w:val="000000"/>
          <w:kern w:val="0"/>
          <w:sz w:val="32"/>
        </w:rPr>
      </w:pPr>
      <w:r>
        <w:rPr>
          <w:rFonts w:hint="eastAsia" w:ascii="仿宋" w:hAnsi="仿宋" w:eastAsia="仿宋" w:cs="仿宋"/>
          <w:b/>
          <w:bCs/>
          <w:color w:val="000000"/>
          <w:sz w:val="32"/>
          <w:lang w:val="en-US" w:eastAsia="zh-CN"/>
        </w:rPr>
        <w:t>第</w:t>
      </w:r>
      <w:r>
        <w:rPr>
          <w:rFonts w:hint="eastAsia" w:ascii="仿宋" w:hAnsi="仿宋" w:cs="仿宋"/>
          <w:b/>
          <w:bCs/>
          <w:color w:val="000000"/>
          <w:sz w:val="32"/>
          <w:lang w:val="en-US" w:eastAsia="zh-CN"/>
        </w:rPr>
        <w:t>二</w:t>
      </w:r>
      <w:r>
        <w:rPr>
          <w:rFonts w:hint="eastAsia" w:ascii="仿宋" w:hAnsi="仿宋" w:eastAsia="仿宋" w:cs="仿宋"/>
          <w:b/>
          <w:bCs/>
          <w:color w:val="000000"/>
          <w:sz w:val="32"/>
          <w:lang w:val="en-US" w:eastAsia="zh-CN"/>
        </w:rPr>
        <w:t>十</w:t>
      </w:r>
      <w:r>
        <w:rPr>
          <w:rFonts w:hint="eastAsia" w:ascii="仿宋" w:hAnsi="仿宋" w:cs="仿宋"/>
          <w:b/>
          <w:bCs/>
          <w:color w:val="000000"/>
          <w:sz w:val="32"/>
          <w:lang w:val="en-US" w:eastAsia="zh-CN"/>
        </w:rPr>
        <w:t>六</w:t>
      </w:r>
      <w:r>
        <w:rPr>
          <w:rFonts w:hint="eastAsia" w:ascii="仿宋" w:hAnsi="仿宋" w:eastAsia="仿宋" w:cs="仿宋"/>
          <w:b/>
          <w:bCs/>
          <w:color w:val="000000"/>
          <w:sz w:val="32"/>
          <w:lang w:val="en-US" w:eastAsia="zh-CN"/>
        </w:rPr>
        <w:t>条</w:t>
      </w:r>
      <w:r>
        <w:rPr>
          <w:rFonts w:hint="eastAsia" w:ascii="仿宋" w:hAnsi="仿宋" w:eastAsia="仿宋" w:cs="仿宋"/>
          <w:sz w:val="32"/>
          <w:lang w:val="en-US" w:eastAsia="zh-CN"/>
        </w:rPr>
        <w:t xml:space="preserve"> </w:t>
      </w:r>
      <w:r>
        <w:rPr>
          <w:rFonts w:hint="eastAsia" w:ascii="仿宋" w:hAnsi="仿宋" w:eastAsia="仿宋" w:cs="仿宋"/>
          <w:sz w:val="32"/>
        </w:rPr>
        <w:t>扶持政策的监督管理按照</w:t>
      </w:r>
      <w:r>
        <w:rPr>
          <w:rFonts w:hint="eastAsia" w:ascii="仿宋" w:hAnsi="仿宋" w:cs="仿宋"/>
          <w:sz w:val="32"/>
          <w:lang w:val="en-US" w:eastAsia="zh-CN"/>
        </w:rPr>
        <w:t>示范区相关规定</w:t>
      </w:r>
      <w:r>
        <w:rPr>
          <w:rFonts w:hint="eastAsia" w:ascii="仿宋" w:hAnsi="仿宋" w:eastAsia="仿宋" w:cs="仿宋"/>
          <w:sz w:val="32"/>
        </w:rPr>
        <w:t>执行。</w:t>
      </w:r>
    </w:p>
    <w:p>
      <w:pPr>
        <w:spacing w:line="600" w:lineRule="exact"/>
        <w:ind w:firstLine="642" w:firstLineChars="200"/>
        <w:jc w:val="both"/>
        <w:rPr>
          <w:rFonts w:hint="eastAsia" w:ascii="仿宋" w:hAnsi="仿宋" w:eastAsia="仿宋" w:cs="仿宋"/>
          <w:color w:val="000000"/>
          <w:sz w:val="32"/>
        </w:rPr>
      </w:pPr>
      <w:r>
        <w:rPr>
          <w:rFonts w:hint="eastAsia" w:ascii="仿宋" w:hAnsi="仿宋" w:eastAsia="仿宋" w:cs="仿宋"/>
          <w:b/>
          <w:bCs/>
          <w:color w:val="000000"/>
          <w:kern w:val="2"/>
          <w:sz w:val="32"/>
          <w:szCs w:val="32"/>
          <w:lang w:val="en-US" w:eastAsia="zh-CN" w:bidi="ar-SA"/>
        </w:rPr>
        <w:t>第</w:t>
      </w:r>
      <w:r>
        <w:rPr>
          <w:rFonts w:hint="eastAsia" w:ascii="仿宋" w:hAnsi="仿宋" w:eastAsia="仿宋" w:cs="仿宋"/>
          <w:b/>
          <w:bCs/>
          <w:color w:val="000000"/>
          <w:sz w:val="32"/>
          <w:lang w:val="en-US" w:eastAsia="zh-CN"/>
        </w:rPr>
        <w:t>二</w:t>
      </w:r>
      <w:r>
        <w:rPr>
          <w:rFonts w:hint="eastAsia" w:ascii="仿宋" w:hAnsi="仿宋" w:eastAsia="仿宋" w:cs="仿宋"/>
          <w:b/>
          <w:bCs/>
          <w:color w:val="000000"/>
          <w:kern w:val="2"/>
          <w:sz w:val="32"/>
          <w:szCs w:val="32"/>
          <w:lang w:val="en-US" w:eastAsia="zh-CN" w:bidi="ar-SA"/>
        </w:rPr>
        <w:t>十七条</w:t>
      </w:r>
      <w:r>
        <w:rPr>
          <w:rFonts w:hint="eastAsia" w:ascii="仿宋" w:hAnsi="仿宋" w:eastAsia="仿宋" w:cs="仿宋"/>
          <w:color w:val="000000"/>
          <w:sz w:val="32"/>
          <w:lang w:val="en-US" w:eastAsia="zh-CN"/>
        </w:rPr>
        <w:t xml:space="preserve"> </w:t>
      </w:r>
      <w:r>
        <w:rPr>
          <w:rFonts w:hint="eastAsia" w:ascii="仿宋" w:hAnsi="仿宋" w:eastAsia="仿宋" w:cs="仿宋"/>
          <w:sz w:val="32"/>
        </w:rPr>
        <w:t>本办法自</w:t>
      </w:r>
      <w:r>
        <w:rPr>
          <w:rFonts w:hint="eastAsia" w:ascii="仿宋" w:hAnsi="仿宋" w:eastAsia="仿宋" w:cs="仿宋"/>
          <w:sz w:val="32"/>
          <w:lang w:val="en-US" w:eastAsia="zh-CN"/>
        </w:rPr>
        <w:t>发布之日</w:t>
      </w:r>
      <w:r>
        <w:rPr>
          <w:rFonts w:hint="eastAsia" w:ascii="仿宋" w:hAnsi="仿宋" w:eastAsia="仿宋" w:cs="仿宋"/>
          <w:sz w:val="32"/>
        </w:rPr>
        <w:t>起</w:t>
      </w:r>
      <w:r>
        <w:rPr>
          <w:rFonts w:hint="eastAsia" w:ascii="仿宋" w:hAnsi="仿宋" w:eastAsia="仿宋" w:cs="仿宋"/>
          <w:sz w:val="32"/>
          <w:lang w:val="en-US" w:eastAsia="zh-CN"/>
        </w:rPr>
        <w:t>30日后</w:t>
      </w:r>
      <w:r>
        <w:rPr>
          <w:rFonts w:hint="eastAsia" w:ascii="仿宋" w:hAnsi="仿宋" w:eastAsia="仿宋" w:cs="仿宋"/>
          <w:sz w:val="32"/>
        </w:rPr>
        <w:t>施</w:t>
      </w:r>
      <w:r>
        <w:rPr>
          <w:rFonts w:hint="eastAsia" w:ascii="仿宋" w:hAnsi="仿宋" w:eastAsia="仿宋" w:cs="仿宋"/>
          <w:sz w:val="32"/>
          <w:lang w:val="en-US" w:eastAsia="zh-CN"/>
        </w:rPr>
        <w:t>行</w:t>
      </w:r>
      <w:r>
        <w:rPr>
          <w:rFonts w:hint="eastAsia" w:ascii="仿宋" w:hAnsi="仿宋" w:eastAsia="仿宋" w:cs="仿宋"/>
          <w:sz w:val="32"/>
        </w:rPr>
        <w:t>，</w:t>
      </w:r>
      <w:r>
        <w:rPr>
          <w:rFonts w:hint="eastAsia" w:ascii="仿宋" w:hAnsi="仿宋" w:eastAsia="仿宋" w:cs="仿宋"/>
          <w:color w:val="000000"/>
          <w:sz w:val="32"/>
        </w:rPr>
        <w:t>有效期3年。20</w:t>
      </w:r>
      <w:r>
        <w:rPr>
          <w:rFonts w:hint="eastAsia" w:ascii="仿宋" w:hAnsi="仿宋" w:eastAsia="仿宋" w:cs="仿宋"/>
          <w:color w:val="000000"/>
          <w:sz w:val="32"/>
          <w:lang w:val="en-US" w:eastAsia="zh-CN"/>
        </w:rPr>
        <w:t>20</w:t>
      </w:r>
      <w:r>
        <w:rPr>
          <w:rFonts w:hint="eastAsia" w:ascii="仿宋" w:hAnsi="仿宋" w:eastAsia="仿宋" w:cs="仿宋"/>
          <w:color w:val="000000"/>
          <w:sz w:val="32"/>
        </w:rPr>
        <w:t>年</w:t>
      </w:r>
      <w:r>
        <w:rPr>
          <w:rFonts w:hint="eastAsia" w:ascii="仿宋" w:hAnsi="仿宋" w:eastAsia="仿宋" w:cs="仿宋"/>
          <w:color w:val="000000"/>
          <w:sz w:val="32"/>
          <w:lang w:val="en-US" w:eastAsia="zh-CN"/>
        </w:rPr>
        <w:t>8</w:t>
      </w:r>
      <w:r>
        <w:rPr>
          <w:rFonts w:hint="eastAsia" w:ascii="仿宋" w:hAnsi="仿宋" w:eastAsia="仿宋" w:cs="仿宋"/>
          <w:color w:val="000000"/>
          <w:sz w:val="32"/>
        </w:rPr>
        <w:t>月</w:t>
      </w:r>
      <w:r>
        <w:rPr>
          <w:rFonts w:hint="eastAsia" w:ascii="仿宋" w:hAnsi="仿宋" w:eastAsia="仿宋" w:cs="仿宋"/>
          <w:color w:val="000000"/>
          <w:sz w:val="32"/>
          <w:lang w:val="en-US" w:eastAsia="zh-CN"/>
        </w:rPr>
        <w:t>24</w:t>
      </w:r>
      <w:r>
        <w:rPr>
          <w:rFonts w:hint="eastAsia" w:ascii="仿宋" w:hAnsi="仿宋" w:eastAsia="仿宋" w:cs="仿宋"/>
          <w:color w:val="000000"/>
          <w:sz w:val="32"/>
        </w:rPr>
        <w:t>日印发的《山西转型综合改革示范区促进金融业发展办法》（晋综示发〔20</w:t>
      </w:r>
      <w:r>
        <w:rPr>
          <w:rFonts w:hint="eastAsia" w:ascii="仿宋" w:hAnsi="仿宋" w:eastAsia="仿宋" w:cs="仿宋"/>
          <w:color w:val="000000"/>
          <w:sz w:val="32"/>
          <w:lang w:val="en-US" w:eastAsia="zh-CN"/>
        </w:rPr>
        <w:t>20</w:t>
      </w:r>
      <w:r>
        <w:rPr>
          <w:rFonts w:hint="eastAsia" w:ascii="仿宋" w:hAnsi="仿宋" w:eastAsia="仿宋" w:cs="仿宋"/>
          <w:color w:val="000000"/>
          <w:sz w:val="32"/>
        </w:rPr>
        <w:t>〕</w:t>
      </w:r>
      <w:r>
        <w:rPr>
          <w:rFonts w:hint="eastAsia" w:ascii="仿宋" w:hAnsi="仿宋" w:eastAsia="仿宋" w:cs="仿宋"/>
          <w:color w:val="000000"/>
          <w:sz w:val="32"/>
          <w:lang w:val="en-US" w:eastAsia="zh-CN"/>
        </w:rPr>
        <w:t>138</w:t>
      </w:r>
      <w:r>
        <w:rPr>
          <w:rFonts w:hint="eastAsia" w:ascii="仿宋" w:hAnsi="仿宋" w:eastAsia="仿宋" w:cs="仿宋"/>
          <w:color w:val="000000"/>
          <w:sz w:val="32"/>
        </w:rPr>
        <w:t>号）同时废止。</w:t>
      </w:r>
    </w:p>
    <w:p>
      <w:pPr>
        <w:pStyle w:val="2"/>
        <w:rPr>
          <w:rFonts w:hint="eastAsia" w:ascii="仿宋" w:hAnsi="仿宋" w:eastAsia="仿宋" w:cs="仿宋"/>
          <w:color w:val="000000"/>
          <w:sz w:val="32"/>
        </w:rPr>
      </w:pPr>
    </w:p>
    <w:p>
      <w:pPr>
        <w:rPr>
          <w:rFonts w:hint="eastAsia" w:ascii="仿宋" w:hAnsi="仿宋" w:eastAsia="仿宋" w:cs="仿宋"/>
          <w:color w:val="000000"/>
          <w:sz w:val="32"/>
        </w:rPr>
      </w:pPr>
    </w:p>
    <w:p>
      <w:pPr>
        <w:pStyle w:val="2"/>
        <w:rPr>
          <w:rFonts w:hint="eastAsia" w:ascii="仿宋" w:hAnsi="仿宋" w:eastAsia="仿宋" w:cs="仿宋"/>
          <w:color w:val="000000"/>
          <w:sz w:val="32"/>
        </w:rPr>
      </w:pPr>
    </w:p>
    <w:p>
      <w:pPr>
        <w:rPr>
          <w:rFonts w:hint="eastAsia" w:ascii="仿宋" w:hAnsi="仿宋" w:eastAsia="仿宋" w:cs="仿宋"/>
          <w:color w:val="000000"/>
          <w:sz w:val="32"/>
        </w:rPr>
      </w:pPr>
    </w:p>
    <w:p>
      <w:pPr>
        <w:pStyle w:val="2"/>
        <w:rPr>
          <w:rFonts w:hint="eastAsia" w:ascii="仿宋" w:hAnsi="仿宋" w:eastAsia="仿宋" w:cs="仿宋"/>
          <w:color w:val="000000"/>
          <w:sz w:val="32"/>
        </w:rPr>
      </w:pPr>
    </w:p>
    <w:p>
      <w:pPr>
        <w:rPr>
          <w:rFonts w:hint="eastAsia" w:ascii="仿宋" w:hAnsi="仿宋" w:eastAsia="仿宋" w:cs="仿宋"/>
          <w:color w:val="000000"/>
          <w:sz w:val="32"/>
        </w:rPr>
      </w:pPr>
    </w:p>
    <w:p>
      <w:pPr>
        <w:pStyle w:val="2"/>
        <w:rPr>
          <w:rFonts w:hint="eastAsia" w:ascii="仿宋" w:hAnsi="仿宋" w:eastAsia="仿宋" w:cs="仿宋"/>
          <w:color w:val="000000"/>
          <w:sz w:val="32"/>
        </w:rPr>
      </w:pPr>
    </w:p>
    <w:p>
      <w:pPr>
        <w:rPr>
          <w:rFonts w:hint="eastAsia" w:ascii="仿宋" w:hAnsi="仿宋" w:eastAsia="仿宋" w:cs="仿宋"/>
          <w:color w:val="000000"/>
          <w:sz w:val="32"/>
        </w:rPr>
      </w:pPr>
    </w:p>
    <w:p>
      <w:pPr>
        <w:shd w:val="clear" w:color="auto" w:fill="FFFFFF"/>
        <w:spacing w:line="560" w:lineRule="exact"/>
        <w:rPr>
          <w:rFonts w:hint="eastAsia" w:ascii="黑体" w:hAnsi="黑体" w:eastAsia="黑体" w:cs="黑体"/>
          <w:color w:val="000000"/>
          <w:sz w:val="32"/>
        </w:rPr>
      </w:pPr>
      <w:r>
        <w:rPr>
          <w:rFonts w:hint="eastAsia" w:ascii="黑体" w:hAnsi="黑体" w:eastAsia="黑体" w:cs="黑体"/>
          <w:color w:val="000000"/>
          <w:sz w:val="32"/>
        </w:rPr>
        <w:t>附件1</w:t>
      </w:r>
    </w:p>
    <w:p>
      <w:pPr>
        <w:shd w:val="clear" w:color="auto" w:fill="FFFFFF"/>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金融集聚区评选流程及标准</w:t>
      </w:r>
    </w:p>
    <w:p>
      <w:pPr>
        <w:shd w:val="clear" w:color="auto" w:fill="FFFFFF"/>
        <w:spacing w:line="560" w:lineRule="exact"/>
        <w:ind w:firstLine="640" w:firstLineChars="200"/>
        <w:jc w:val="both"/>
        <w:rPr>
          <w:rFonts w:hint="eastAsia" w:ascii="黑体" w:hAnsi="黑体" w:eastAsia="黑体" w:cs="黑体"/>
          <w:color w:val="000000"/>
          <w:sz w:val="32"/>
        </w:rPr>
      </w:pPr>
    </w:p>
    <w:p>
      <w:pPr>
        <w:shd w:val="clear" w:color="auto" w:fill="FFFFFF"/>
        <w:spacing w:line="560" w:lineRule="exact"/>
        <w:ind w:firstLine="640" w:firstLineChars="200"/>
        <w:jc w:val="both"/>
        <w:rPr>
          <w:rFonts w:ascii="黑体" w:hAnsi="黑体" w:eastAsia="黑体" w:cs="黑体"/>
          <w:color w:val="000000"/>
          <w:sz w:val="32"/>
        </w:rPr>
      </w:pPr>
      <w:r>
        <w:rPr>
          <w:rFonts w:hint="eastAsia" w:ascii="黑体" w:hAnsi="黑体" w:eastAsia="黑体" w:cs="黑体"/>
          <w:color w:val="000000"/>
          <w:sz w:val="32"/>
        </w:rPr>
        <w:t>一、评选流程</w:t>
      </w:r>
    </w:p>
    <w:p>
      <w:pPr>
        <w:shd w:val="clear" w:color="auto" w:fill="FFFFFF"/>
        <w:spacing w:line="560" w:lineRule="exact"/>
        <w:ind w:firstLine="640" w:firstLineChars="200"/>
        <w:jc w:val="both"/>
        <w:rPr>
          <w:rFonts w:ascii="仿宋" w:hAnsi="仿宋" w:eastAsia="仿宋" w:cs="黑体"/>
          <w:b/>
          <w:bCs/>
          <w:sz w:val="32"/>
          <w:szCs w:val="32"/>
        </w:rPr>
      </w:pPr>
      <w:r>
        <w:rPr>
          <w:rFonts w:hint="eastAsia" w:ascii="仿宋" w:hAnsi="仿宋" w:eastAsia="仿宋"/>
          <w:color w:val="000000"/>
          <w:sz w:val="32"/>
        </w:rPr>
        <w:t>提供物理空间的运营服务机构向示范区申报金融集聚区，由示范区投融资业务主管部门组织考察、评审，并报管委会批准。申报材料包括：申请报告、统一社会信用代码证、房屋所有权证明或租房协议、入驻金融机构租房协议、入驻金融机构统一社会信用代码证及其他证明材料。</w:t>
      </w:r>
    </w:p>
    <w:p>
      <w:pPr>
        <w:shd w:val="clear" w:color="auto" w:fill="FFFFFF"/>
        <w:spacing w:line="560" w:lineRule="exact"/>
        <w:ind w:firstLine="640" w:firstLineChars="200"/>
        <w:jc w:val="both"/>
        <w:rPr>
          <w:rFonts w:ascii="黑体" w:hAnsi="黑体" w:eastAsia="黑体" w:cs="黑体"/>
          <w:bCs/>
          <w:color w:val="000000"/>
          <w:sz w:val="32"/>
        </w:rPr>
      </w:pPr>
      <w:r>
        <w:rPr>
          <w:rFonts w:hint="eastAsia" w:ascii="黑体" w:hAnsi="黑体" w:eastAsia="黑体" w:cs="黑体"/>
          <w:bCs/>
          <w:color w:val="000000"/>
          <w:sz w:val="32"/>
        </w:rPr>
        <w:t>二、评选标准</w:t>
      </w:r>
    </w:p>
    <w:p>
      <w:pPr>
        <w:shd w:val="clear" w:color="auto" w:fill="FFFFFF"/>
        <w:spacing w:line="560" w:lineRule="exact"/>
        <w:ind w:firstLine="640" w:firstLineChars="200"/>
        <w:jc w:val="both"/>
        <w:rPr>
          <w:rFonts w:ascii="仿宋" w:hAnsi="仿宋" w:eastAsia="仿宋"/>
          <w:color w:val="000000"/>
          <w:sz w:val="32"/>
        </w:rPr>
      </w:pPr>
      <w:r>
        <w:rPr>
          <w:rFonts w:hint="eastAsia" w:ascii="仿宋" w:hAnsi="仿宋" w:eastAsia="仿宋"/>
          <w:bCs/>
          <w:color w:val="000000"/>
          <w:sz w:val="32"/>
        </w:rPr>
        <w:t>综合金融集聚区</w:t>
      </w:r>
      <w:r>
        <w:rPr>
          <w:rFonts w:hint="eastAsia" w:ascii="仿宋" w:hAnsi="仿宋" w:eastAsia="仿宋"/>
          <w:color w:val="000000"/>
          <w:sz w:val="32"/>
        </w:rPr>
        <w:t>要求在示范区内，物理空间面积达到10000平方米，金融业态健全，入驻的金融机构达到20家以上，且有金融牌照的金融机构不少于5家，可满足企业在种子期、天使期、成长期、成熟期等各阶段多元化金融需求，颁发金融特色楼宇、金融谷、金融港、金融岛、金融街区等特色牌匾。</w:t>
      </w:r>
    </w:p>
    <w:p>
      <w:pPr>
        <w:widowControl/>
        <w:shd w:val="clear" w:color="auto" w:fill="FFFFFF"/>
        <w:spacing w:line="520" w:lineRule="exact"/>
        <w:ind w:firstLine="640" w:firstLineChars="200"/>
        <w:jc w:val="both"/>
        <w:rPr>
          <w:rFonts w:hint="eastAsia" w:ascii="黑体" w:hAnsi="黑体" w:eastAsia="黑体" w:cs="黑体"/>
          <w:sz w:val="32"/>
          <w:szCs w:val="32"/>
        </w:rPr>
      </w:pPr>
      <w:r>
        <w:rPr>
          <w:rFonts w:hint="eastAsia" w:ascii="仿宋" w:hAnsi="仿宋" w:eastAsia="仿宋"/>
          <w:bCs/>
          <w:color w:val="000000"/>
          <w:sz w:val="32"/>
        </w:rPr>
        <w:t>单一业态</w:t>
      </w:r>
      <w:r>
        <w:rPr>
          <w:rFonts w:hint="eastAsia" w:ascii="仿宋" w:hAnsi="仿宋" w:eastAsia="仿宋"/>
          <w:color w:val="000000"/>
          <w:sz w:val="32"/>
        </w:rPr>
        <w:t>金融集聚区要求在示范区内，物理空间面积达到2000平方米，入驻单一业态金融机构10家以上，根据行业和特点颁发</w:t>
      </w:r>
      <w:r>
        <w:rPr>
          <w:rFonts w:hint="eastAsia" w:ascii="仿宋" w:hAnsi="仿宋" w:eastAsia="仿宋"/>
          <w:bCs/>
          <w:color w:val="000000"/>
          <w:sz w:val="32"/>
        </w:rPr>
        <w:t>基金小镇、保险园区、证券家园</w:t>
      </w:r>
      <w:r>
        <w:rPr>
          <w:rFonts w:hint="eastAsia" w:ascii="仿宋" w:hAnsi="仿宋" w:eastAsia="仿宋"/>
          <w:color w:val="000000"/>
          <w:sz w:val="32"/>
        </w:rPr>
        <w:t>等特色牌匾。</w:t>
      </w:r>
    </w:p>
    <w:p>
      <w:pPr>
        <w:widowControl/>
        <w:shd w:val="clear" w:color="auto" w:fill="FFFFFF"/>
        <w:spacing w:line="520" w:lineRule="exact"/>
        <w:ind w:firstLine="640" w:firstLineChars="200"/>
        <w:jc w:val="both"/>
        <w:rPr>
          <w:rFonts w:hint="eastAsia" w:ascii="黑体" w:hAnsi="黑体" w:eastAsia="黑体" w:cs="黑体"/>
          <w:sz w:val="32"/>
          <w:szCs w:val="32"/>
        </w:rPr>
      </w:pPr>
    </w:p>
    <w:p>
      <w:pPr>
        <w:pStyle w:val="2"/>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DcwZjEwZDRlMGU1YjlmZTBkOTQ4NWEwNGFlNDEifQ=="/>
  </w:docVars>
  <w:rsids>
    <w:rsidRoot w:val="0DD90640"/>
    <w:rsid w:val="00154E5B"/>
    <w:rsid w:val="00E20CB7"/>
    <w:rsid w:val="00FF1012"/>
    <w:rsid w:val="02920B5A"/>
    <w:rsid w:val="04004644"/>
    <w:rsid w:val="04426848"/>
    <w:rsid w:val="04E90B5B"/>
    <w:rsid w:val="052B2F21"/>
    <w:rsid w:val="05BC5D2F"/>
    <w:rsid w:val="05C706D4"/>
    <w:rsid w:val="05D97573"/>
    <w:rsid w:val="06236F04"/>
    <w:rsid w:val="063E7678"/>
    <w:rsid w:val="06B63AF0"/>
    <w:rsid w:val="06DD649D"/>
    <w:rsid w:val="06EF2923"/>
    <w:rsid w:val="07372051"/>
    <w:rsid w:val="07BE1E2B"/>
    <w:rsid w:val="0820258B"/>
    <w:rsid w:val="085E53BC"/>
    <w:rsid w:val="0B4C0ACD"/>
    <w:rsid w:val="0B552AA6"/>
    <w:rsid w:val="0B8A2176"/>
    <w:rsid w:val="0C6E2FA4"/>
    <w:rsid w:val="0D0156D9"/>
    <w:rsid w:val="0DD90640"/>
    <w:rsid w:val="0DDE13E7"/>
    <w:rsid w:val="0DFD2053"/>
    <w:rsid w:val="0E2530CD"/>
    <w:rsid w:val="0E3C4C88"/>
    <w:rsid w:val="0F64775C"/>
    <w:rsid w:val="0F995B84"/>
    <w:rsid w:val="0F9F44BE"/>
    <w:rsid w:val="10486816"/>
    <w:rsid w:val="11B83D8F"/>
    <w:rsid w:val="1294027A"/>
    <w:rsid w:val="13023513"/>
    <w:rsid w:val="140275A9"/>
    <w:rsid w:val="14747826"/>
    <w:rsid w:val="148C3D00"/>
    <w:rsid w:val="14C71271"/>
    <w:rsid w:val="154047C7"/>
    <w:rsid w:val="15804BC3"/>
    <w:rsid w:val="15991EFF"/>
    <w:rsid w:val="160F7CA0"/>
    <w:rsid w:val="16A91903"/>
    <w:rsid w:val="170B2BB3"/>
    <w:rsid w:val="17236044"/>
    <w:rsid w:val="17EF6030"/>
    <w:rsid w:val="17F2F3DD"/>
    <w:rsid w:val="17FFD3D4"/>
    <w:rsid w:val="18044425"/>
    <w:rsid w:val="186A445F"/>
    <w:rsid w:val="187A3B4C"/>
    <w:rsid w:val="18A1732B"/>
    <w:rsid w:val="18C354F3"/>
    <w:rsid w:val="18EF0897"/>
    <w:rsid w:val="197F6DD9"/>
    <w:rsid w:val="19FA32BA"/>
    <w:rsid w:val="1A0C4C78"/>
    <w:rsid w:val="1B2CE963"/>
    <w:rsid w:val="1BC94013"/>
    <w:rsid w:val="1C4B004D"/>
    <w:rsid w:val="1C5563EA"/>
    <w:rsid w:val="1CFD4575"/>
    <w:rsid w:val="1D4F0083"/>
    <w:rsid w:val="1E706A68"/>
    <w:rsid w:val="1E758049"/>
    <w:rsid w:val="1EB6D5D1"/>
    <w:rsid w:val="1ED1023E"/>
    <w:rsid w:val="1EFC175F"/>
    <w:rsid w:val="1EFF273B"/>
    <w:rsid w:val="1F7637C8"/>
    <w:rsid w:val="1FB6653B"/>
    <w:rsid w:val="1FD877E1"/>
    <w:rsid w:val="1FEEB721"/>
    <w:rsid w:val="1FEF24E7"/>
    <w:rsid w:val="1FFDC77F"/>
    <w:rsid w:val="1FFF31CB"/>
    <w:rsid w:val="200F107B"/>
    <w:rsid w:val="205308B1"/>
    <w:rsid w:val="20DE662A"/>
    <w:rsid w:val="21941AED"/>
    <w:rsid w:val="21D56297"/>
    <w:rsid w:val="21F901D7"/>
    <w:rsid w:val="222039B6"/>
    <w:rsid w:val="225F88EC"/>
    <w:rsid w:val="22673393"/>
    <w:rsid w:val="234C07DB"/>
    <w:rsid w:val="24374FE7"/>
    <w:rsid w:val="24C254F8"/>
    <w:rsid w:val="25090731"/>
    <w:rsid w:val="258C4EBE"/>
    <w:rsid w:val="25A34456"/>
    <w:rsid w:val="25F866DF"/>
    <w:rsid w:val="263E265D"/>
    <w:rsid w:val="267C1873"/>
    <w:rsid w:val="26AF46EB"/>
    <w:rsid w:val="26C41FB9"/>
    <w:rsid w:val="26EB449F"/>
    <w:rsid w:val="275606A2"/>
    <w:rsid w:val="29EF3D8C"/>
    <w:rsid w:val="29F2472B"/>
    <w:rsid w:val="2B33475A"/>
    <w:rsid w:val="2B785B26"/>
    <w:rsid w:val="2B7FF1F1"/>
    <w:rsid w:val="2BE12726"/>
    <w:rsid w:val="2CEFCD3F"/>
    <w:rsid w:val="2D3BEC6E"/>
    <w:rsid w:val="2DDDA7B3"/>
    <w:rsid w:val="2E843E90"/>
    <w:rsid w:val="2EA518AD"/>
    <w:rsid w:val="2EBFE251"/>
    <w:rsid w:val="2F5B38F4"/>
    <w:rsid w:val="2FBB2D40"/>
    <w:rsid w:val="2FD3A53D"/>
    <w:rsid w:val="308C6870"/>
    <w:rsid w:val="30BD5287"/>
    <w:rsid w:val="30BE366A"/>
    <w:rsid w:val="30C23722"/>
    <w:rsid w:val="30CE0AB9"/>
    <w:rsid w:val="311F0175"/>
    <w:rsid w:val="31AF2F1D"/>
    <w:rsid w:val="31BC2840"/>
    <w:rsid w:val="323024B9"/>
    <w:rsid w:val="33F7C599"/>
    <w:rsid w:val="33FF9FA9"/>
    <w:rsid w:val="347750D3"/>
    <w:rsid w:val="356D420B"/>
    <w:rsid w:val="35BD3DE6"/>
    <w:rsid w:val="35D9FB58"/>
    <w:rsid w:val="35FE3BB6"/>
    <w:rsid w:val="35FF5E16"/>
    <w:rsid w:val="364A0BAA"/>
    <w:rsid w:val="365F0D36"/>
    <w:rsid w:val="375BF92E"/>
    <w:rsid w:val="37FD07F8"/>
    <w:rsid w:val="37FD2450"/>
    <w:rsid w:val="37FDD524"/>
    <w:rsid w:val="387043D9"/>
    <w:rsid w:val="398D421F"/>
    <w:rsid w:val="39FB55F1"/>
    <w:rsid w:val="3A0B4AF4"/>
    <w:rsid w:val="3A1E08FF"/>
    <w:rsid w:val="3ADE4285"/>
    <w:rsid w:val="3AEB5A6A"/>
    <w:rsid w:val="3B491430"/>
    <w:rsid w:val="3BD635A4"/>
    <w:rsid w:val="3BDB6344"/>
    <w:rsid w:val="3BE7AE76"/>
    <w:rsid w:val="3BEF0936"/>
    <w:rsid w:val="3C2F482F"/>
    <w:rsid w:val="3C830972"/>
    <w:rsid w:val="3C925488"/>
    <w:rsid w:val="3CA7DF4D"/>
    <w:rsid w:val="3CEF45D7"/>
    <w:rsid w:val="3CF7C482"/>
    <w:rsid w:val="3D3E7565"/>
    <w:rsid w:val="3D7BF56F"/>
    <w:rsid w:val="3DAE699F"/>
    <w:rsid w:val="3E5913A7"/>
    <w:rsid w:val="3E66679D"/>
    <w:rsid w:val="3ECFB266"/>
    <w:rsid w:val="3EDB4A95"/>
    <w:rsid w:val="3EEB27BB"/>
    <w:rsid w:val="3EFB777B"/>
    <w:rsid w:val="3F1488E9"/>
    <w:rsid w:val="3F2FA67C"/>
    <w:rsid w:val="3F2FB395"/>
    <w:rsid w:val="3F3B34E6"/>
    <w:rsid w:val="3F7F3E69"/>
    <w:rsid w:val="3FBDF798"/>
    <w:rsid w:val="3FE00A07"/>
    <w:rsid w:val="3FE7CE66"/>
    <w:rsid w:val="3FEED415"/>
    <w:rsid w:val="3FF3080A"/>
    <w:rsid w:val="3FF7AF08"/>
    <w:rsid w:val="3FFBD8B1"/>
    <w:rsid w:val="3FFEDC29"/>
    <w:rsid w:val="3FFF3381"/>
    <w:rsid w:val="3FFFB8EA"/>
    <w:rsid w:val="40153483"/>
    <w:rsid w:val="40F567B6"/>
    <w:rsid w:val="413E130B"/>
    <w:rsid w:val="41984EBF"/>
    <w:rsid w:val="41B865A0"/>
    <w:rsid w:val="42A930FC"/>
    <w:rsid w:val="43E837B0"/>
    <w:rsid w:val="44817BC8"/>
    <w:rsid w:val="449D0724"/>
    <w:rsid w:val="451D0D3D"/>
    <w:rsid w:val="45E961FB"/>
    <w:rsid w:val="460A3EB2"/>
    <w:rsid w:val="463B281B"/>
    <w:rsid w:val="465E7C1C"/>
    <w:rsid w:val="46E80B7A"/>
    <w:rsid w:val="476920A8"/>
    <w:rsid w:val="47D16802"/>
    <w:rsid w:val="47E77736"/>
    <w:rsid w:val="47F758BE"/>
    <w:rsid w:val="49227090"/>
    <w:rsid w:val="4A474A71"/>
    <w:rsid w:val="4A6A3171"/>
    <w:rsid w:val="4AAF6807"/>
    <w:rsid w:val="4BEEC532"/>
    <w:rsid w:val="4C3D5C20"/>
    <w:rsid w:val="4C6D19B6"/>
    <w:rsid w:val="4DEF4EA8"/>
    <w:rsid w:val="4DFB6283"/>
    <w:rsid w:val="4E801A01"/>
    <w:rsid w:val="4F4D61C1"/>
    <w:rsid w:val="4FDE424A"/>
    <w:rsid w:val="4FEF54E2"/>
    <w:rsid w:val="4FFE5ADD"/>
    <w:rsid w:val="506158EB"/>
    <w:rsid w:val="50A549ED"/>
    <w:rsid w:val="518510D7"/>
    <w:rsid w:val="51FED7AB"/>
    <w:rsid w:val="522B7868"/>
    <w:rsid w:val="52633369"/>
    <w:rsid w:val="532B4B2C"/>
    <w:rsid w:val="541B6431"/>
    <w:rsid w:val="54C73613"/>
    <w:rsid w:val="55491B4D"/>
    <w:rsid w:val="55574CCF"/>
    <w:rsid w:val="555B075F"/>
    <w:rsid w:val="555B2599"/>
    <w:rsid w:val="55F304BE"/>
    <w:rsid w:val="567F5559"/>
    <w:rsid w:val="56FE59E7"/>
    <w:rsid w:val="577E432E"/>
    <w:rsid w:val="57BEE4D5"/>
    <w:rsid w:val="57D316E4"/>
    <w:rsid w:val="57FE9076"/>
    <w:rsid w:val="588E12FB"/>
    <w:rsid w:val="58E42D1D"/>
    <w:rsid w:val="58E64BF6"/>
    <w:rsid w:val="599849FD"/>
    <w:rsid w:val="5AA61FA3"/>
    <w:rsid w:val="5AE5FD55"/>
    <w:rsid w:val="5B6F5C12"/>
    <w:rsid w:val="5B7FF9A8"/>
    <w:rsid w:val="5BA2836E"/>
    <w:rsid w:val="5BD462C2"/>
    <w:rsid w:val="5BEFE7C4"/>
    <w:rsid w:val="5C052CF9"/>
    <w:rsid w:val="5C5A1C17"/>
    <w:rsid w:val="5C5F5DC1"/>
    <w:rsid w:val="5CB2436D"/>
    <w:rsid w:val="5CB52971"/>
    <w:rsid w:val="5CE44548"/>
    <w:rsid w:val="5DBC0D7D"/>
    <w:rsid w:val="5DBE1013"/>
    <w:rsid w:val="5DEFD93F"/>
    <w:rsid w:val="5DFD0E25"/>
    <w:rsid w:val="5E6EFD1D"/>
    <w:rsid w:val="5E734BD0"/>
    <w:rsid w:val="5E76C532"/>
    <w:rsid w:val="5E7F00CE"/>
    <w:rsid w:val="5E8148C6"/>
    <w:rsid w:val="5EA031AD"/>
    <w:rsid w:val="5EA4077C"/>
    <w:rsid w:val="5EE78923"/>
    <w:rsid w:val="5EF8CE52"/>
    <w:rsid w:val="5EFA7CCD"/>
    <w:rsid w:val="5F175824"/>
    <w:rsid w:val="5F3BB774"/>
    <w:rsid w:val="5F3FA6C4"/>
    <w:rsid w:val="5F5FEF6A"/>
    <w:rsid w:val="5F6F4980"/>
    <w:rsid w:val="5F7B079C"/>
    <w:rsid w:val="5F7DAF03"/>
    <w:rsid w:val="5F7EA4D8"/>
    <w:rsid w:val="5F95103F"/>
    <w:rsid w:val="5F9A704C"/>
    <w:rsid w:val="5FEC6471"/>
    <w:rsid w:val="5FED3E79"/>
    <w:rsid w:val="5FFB8A38"/>
    <w:rsid w:val="6018600B"/>
    <w:rsid w:val="60463EB1"/>
    <w:rsid w:val="617A5D6B"/>
    <w:rsid w:val="619CBD4B"/>
    <w:rsid w:val="63975E1C"/>
    <w:rsid w:val="63ED6D95"/>
    <w:rsid w:val="63FF8759"/>
    <w:rsid w:val="64095351"/>
    <w:rsid w:val="642A59F3"/>
    <w:rsid w:val="64F7F50F"/>
    <w:rsid w:val="655202E2"/>
    <w:rsid w:val="658B647F"/>
    <w:rsid w:val="659661B2"/>
    <w:rsid w:val="65FFC304"/>
    <w:rsid w:val="667B6761"/>
    <w:rsid w:val="66AD09ED"/>
    <w:rsid w:val="66F18B8B"/>
    <w:rsid w:val="67135C6C"/>
    <w:rsid w:val="675F3C06"/>
    <w:rsid w:val="677F9AA0"/>
    <w:rsid w:val="679A2E90"/>
    <w:rsid w:val="67B101D9"/>
    <w:rsid w:val="682C7910"/>
    <w:rsid w:val="686AEF14"/>
    <w:rsid w:val="68EE3CC9"/>
    <w:rsid w:val="69FFA666"/>
    <w:rsid w:val="6A591420"/>
    <w:rsid w:val="6A8E7066"/>
    <w:rsid w:val="6ACE2F9A"/>
    <w:rsid w:val="6AD72E10"/>
    <w:rsid w:val="6AED777A"/>
    <w:rsid w:val="6AF71A03"/>
    <w:rsid w:val="6B26FFD9"/>
    <w:rsid w:val="6B56531F"/>
    <w:rsid w:val="6BED30E1"/>
    <w:rsid w:val="6BFD353F"/>
    <w:rsid w:val="6BFF186B"/>
    <w:rsid w:val="6C733A2A"/>
    <w:rsid w:val="6D8443F8"/>
    <w:rsid w:val="6DD95F2C"/>
    <w:rsid w:val="6DFF9C2E"/>
    <w:rsid w:val="6E245261"/>
    <w:rsid w:val="6E5BE2C2"/>
    <w:rsid w:val="6E774CB9"/>
    <w:rsid w:val="6EFF8A41"/>
    <w:rsid w:val="6F222C16"/>
    <w:rsid w:val="6F6DC2B7"/>
    <w:rsid w:val="6F6FBEB3"/>
    <w:rsid w:val="6F79BDE1"/>
    <w:rsid w:val="6F7A987E"/>
    <w:rsid w:val="6F7FB1B1"/>
    <w:rsid w:val="6F7FCC86"/>
    <w:rsid w:val="6FBB27F8"/>
    <w:rsid w:val="6FBB9C29"/>
    <w:rsid w:val="6FD70E67"/>
    <w:rsid w:val="6FDFDB8E"/>
    <w:rsid w:val="6FF7686E"/>
    <w:rsid w:val="6FFF00C4"/>
    <w:rsid w:val="703F7A26"/>
    <w:rsid w:val="70664B8C"/>
    <w:rsid w:val="707F78A2"/>
    <w:rsid w:val="70FF8D06"/>
    <w:rsid w:val="71EF30A9"/>
    <w:rsid w:val="71F96A05"/>
    <w:rsid w:val="7232532D"/>
    <w:rsid w:val="72981631"/>
    <w:rsid w:val="72E476B5"/>
    <w:rsid w:val="73617E0F"/>
    <w:rsid w:val="73622537"/>
    <w:rsid w:val="737F3075"/>
    <w:rsid w:val="73E96BDE"/>
    <w:rsid w:val="73FF0E97"/>
    <w:rsid w:val="74604CCB"/>
    <w:rsid w:val="74F76295"/>
    <w:rsid w:val="75140551"/>
    <w:rsid w:val="757DE146"/>
    <w:rsid w:val="75EB29FE"/>
    <w:rsid w:val="75ED16EA"/>
    <w:rsid w:val="75F74E13"/>
    <w:rsid w:val="75F93732"/>
    <w:rsid w:val="764D08CA"/>
    <w:rsid w:val="76FB66C3"/>
    <w:rsid w:val="779ED8B7"/>
    <w:rsid w:val="77A6A9D3"/>
    <w:rsid w:val="77B7AAF6"/>
    <w:rsid w:val="77BEF045"/>
    <w:rsid w:val="77BF10BF"/>
    <w:rsid w:val="77D6BE78"/>
    <w:rsid w:val="77DEA58B"/>
    <w:rsid w:val="77E63178"/>
    <w:rsid w:val="77E69777"/>
    <w:rsid w:val="77FF1BB6"/>
    <w:rsid w:val="77FF25BF"/>
    <w:rsid w:val="786AC4D1"/>
    <w:rsid w:val="787FA842"/>
    <w:rsid w:val="78BE2756"/>
    <w:rsid w:val="78D635FC"/>
    <w:rsid w:val="78E98B0D"/>
    <w:rsid w:val="78FC4F04"/>
    <w:rsid w:val="79076504"/>
    <w:rsid w:val="79312F28"/>
    <w:rsid w:val="7937ADD6"/>
    <w:rsid w:val="795A664B"/>
    <w:rsid w:val="79B7D14F"/>
    <w:rsid w:val="79BFC527"/>
    <w:rsid w:val="79DD44DA"/>
    <w:rsid w:val="79F8F00D"/>
    <w:rsid w:val="7A7F99A0"/>
    <w:rsid w:val="7AD7D575"/>
    <w:rsid w:val="7ADB096F"/>
    <w:rsid w:val="7B694E51"/>
    <w:rsid w:val="7B7E8FA7"/>
    <w:rsid w:val="7B7F22DD"/>
    <w:rsid w:val="7BD36518"/>
    <w:rsid w:val="7BE7ADCA"/>
    <w:rsid w:val="7BF3DBEB"/>
    <w:rsid w:val="7BFB386A"/>
    <w:rsid w:val="7BFE111F"/>
    <w:rsid w:val="7BFF6BD6"/>
    <w:rsid w:val="7CF647E9"/>
    <w:rsid w:val="7CFF47F0"/>
    <w:rsid w:val="7D2C6836"/>
    <w:rsid w:val="7D482268"/>
    <w:rsid w:val="7D5D56D7"/>
    <w:rsid w:val="7D8FC41B"/>
    <w:rsid w:val="7D979B98"/>
    <w:rsid w:val="7DBDD946"/>
    <w:rsid w:val="7DBF2BDA"/>
    <w:rsid w:val="7DDE51A7"/>
    <w:rsid w:val="7DEF4D50"/>
    <w:rsid w:val="7DF7F950"/>
    <w:rsid w:val="7E3F60DE"/>
    <w:rsid w:val="7E4B943F"/>
    <w:rsid w:val="7E5229A0"/>
    <w:rsid w:val="7E5F6FB9"/>
    <w:rsid w:val="7E671304"/>
    <w:rsid w:val="7E6F12E2"/>
    <w:rsid w:val="7E7F5F19"/>
    <w:rsid w:val="7E7FAFB4"/>
    <w:rsid w:val="7EAD230E"/>
    <w:rsid w:val="7EB679BF"/>
    <w:rsid w:val="7EBF475A"/>
    <w:rsid w:val="7EBFC639"/>
    <w:rsid w:val="7ED87204"/>
    <w:rsid w:val="7EEF4A25"/>
    <w:rsid w:val="7EF3CB49"/>
    <w:rsid w:val="7EF3EEFA"/>
    <w:rsid w:val="7EFF5316"/>
    <w:rsid w:val="7EFF850B"/>
    <w:rsid w:val="7F4F034E"/>
    <w:rsid w:val="7F511F72"/>
    <w:rsid w:val="7F7036E7"/>
    <w:rsid w:val="7F742280"/>
    <w:rsid w:val="7F76F3A0"/>
    <w:rsid w:val="7F780F29"/>
    <w:rsid w:val="7F7BDC45"/>
    <w:rsid w:val="7F7D58EC"/>
    <w:rsid w:val="7F9B584F"/>
    <w:rsid w:val="7FAC68F4"/>
    <w:rsid w:val="7FB165B4"/>
    <w:rsid w:val="7FB416E9"/>
    <w:rsid w:val="7FBE54AD"/>
    <w:rsid w:val="7FBF356D"/>
    <w:rsid w:val="7FBF5CF4"/>
    <w:rsid w:val="7FBF697B"/>
    <w:rsid w:val="7FCE2C37"/>
    <w:rsid w:val="7FDC7FF3"/>
    <w:rsid w:val="7FE242F9"/>
    <w:rsid w:val="7FE7C311"/>
    <w:rsid w:val="7FEE42E8"/>
    <w:rsid w:val="7FEEB164"/>
    <w:rsid w:val="7FF601AC"/>
    <w:rsid w:val="7FF8AB2A"/>
    <w:rsid w:val="7FF9C291"/>
    <w:rsid w:val="7FFA75C1"/>
    <w:rsid w:val="7FFAD428"/>
    <w:rsid w:val="7FFB3247"/>
    <w:rsid w:val="7FFBC485"/>
    <w:rsid w:val="7FFBF0CC"/>
    <w:rsid w:val="7FFDE50D"/>
    <w:rsid w:val="7FFDEBE0"/>
    <w:rsid w:val="7FFE9750"/>
    <w:rsid w:val="7FFF8113"/>
    <w:rsid w:val="7FFFA5E5"/>
    <w:rsid w:val="8BC4D242"/>
    <w:rsid w:val="8DF1F4B5"/>
    <w:rsid w:val="8EF3E8FC"/>
    <w:rsid w:val="94DE85B4"/>
    <w:rsid w:val="957F06FA"/>
    <w:rsid w:val="97BBD3C2"/>
    <w:rsid w:val="97DE493A"/>
    <w:rsid w:val="97F220DC"/>
    <w:rsid w:val="997FA563"/>
    <w:rsid w:val="9D4B5CFF"/>
    <w:rsid w:val="9DEB490C"/>
    <w:rsid w:val="9F6FFAE0"/>
    <w:rsid w:val="9FCF87BA"/>
    <w:rsid w:val="9FDA4846"/>
    <w:rsid w:val="9FE49A1E"/>
    <w:rsid w:val="9FF13238"/>
    <w:rsid w:val="A177E12D"/>
    <w:rsid w:val="A77797E2"/>
    <w:rsid w:val="A98FC98F"/>
    <w:rsid w:val="ACF54D83"/>
    <w:rsid w:val="AD748ECA"/>
    <w:rsid w:val="ADFBDF08"/>
    <w:rsid w:val="ADFFE6EA"/>
    <w:rsid w:val="AE1ED1E5"/>
    <w:rsid w:val="AEAD131E"/>
    <w:rsid w:val="AF4E630A"/>
    <w:rsid w:val="AFE3A13F"/>
    <w:rsid w:val="AFF5700A"/>
    <w:rsid w:val="AFFB0E0D"/>
    <w:rsid w:val="AFFF4D89"/>
    <w:rsid w:val="AFFFC2A3"/>
    <w:rsid w:val="B166C006"/>
    <w:rsid w:val="B3BE8C34"/>
    <w:rsid w:val="B455EABA"/>
    <w:rsid w:val="B5E84C01"/>
    <w:rsid w:val="B7FB08A9"/>
    <w:rsid w:val="B7FF7FBA"/>
    <w:rsid w:val="BA7B23C6"/>
    <w:rsid w:val="BAFDFC78"/>
    <w:rsid w:val="BBD7F054"/>
    <w:rsid w:val="BBE1E5FD"/>
    <w:rsid w:val="BBFD89EF"/>
    <w:rsid w:val="BD1F1167"/>
    <w:rsid w:val="BD7942D2"/>
    <w:rsid w:val="BDBFCF66"/>
    <w:rsid w:val="BDCDE12B"/>
    <w:rsid w:val="BDDE4652"/>
    <w:rsid w:val="BE6E70C1"/>
    <w:rsid w:val="BEBE3BD2"/>
    <w:rsid w:val="BEF54B86"/>
    <w:rsid w:val="BEFDD649"/>
    <w:rsid w:val="BF7D3149"/>
    <w:rsid w:val="BF7DFC87"/>
    <w:rsid w:val="BF7FEEDD"/>
    <w:rsid w:val="BFB901B0"/>
    <w:rsid w:val="BFBF8ED3"/>
    <w:rsid w:val="BFEBC195"/>
    <w:rsid w:val="BFFFC73B"/>
    <w:rsid w:val="C6AFD9ED"/>
    <w:rsid w:val="C76F48EA"/>
    <w:rsid w:val="C7FF781A"/>
    <w:rsid w:val="CBE96687"/>
    <w:rsid w:val="CC3A25AA"/>
    <w:rsid w:val="CDEEBC8B"/>
    <w:rsid w:val="CEB65EED"/>
    <w:rsid w:val="CEF87AB3"/>
    <w:rsid w:val="CF5F9C3E"/>
    <w:rsid w:val="CFB6108F"/>
    <w:rsid w:val="CFBD3C7C"/>
    <w:rsid w:val="CFDDDC78"/>
    <w:rsid w:val="D559AB28"/>
    <w:rsid w:val="D5BF0C97"/>
    <w:rsid w:val="D5EC0132"/>
    <w:rsid w:val="D5FE4D52"/>
    <w:rsid w:val="D6FF61F1"/>
    <w:rsid w:val="D7F74E8B"/>
    <w:rsid w:val="D9FF0D22"/>
    <w:rsid w:val="D9FF6A3A"/>
    <w:rsid w:val="DA7FB371"/>
    <w:rsid w:val="DB652493"/>
    <w:rsid w:val="DBBB5019"/>
    <w:rsid w:val="DBC7ECD9"/>
    <w:rsid w:val="DBDDA742"/>
    <w:rsid w:val="DBFDFB6F"/>
    <w:rsid w:val="DBFE668E"/>
    <w:rsid w:val="DCFFB9EA"/>
    <w:rsid w:val="DDBC4F25"/>
    <w:rsid w:val="DE7FDBE0"/>
    <w:rsid w:val="DEAF02DD"/>
    <w:rsid w:val="DEBFA8AC"/>
    <w:rsid w:val="DEF72F86"/>
    <w:rsid w:val="DEFF2F46"/>
    <w:rsid w:val="DF6BAC6A"/>
    <w:rsid w:val="DF7FC1AD"/>
    <w:rsid w:val="DFBE48C6"/>
    <w:rsid w:val="DFBF823C"/>
    <w:rsid w:val="DFC3C9B6"/>
    <w:rsid w:val="DFDBF1EB"/>
    <w:rsid w:val="DFFB2926"/>
    <w:rsid w:val="DFFD9320"/>
    <w:rsid w:val="DFFF0854"/>
    <w:rsid w:val="DFFF49EF"/>
    <w:rsid w:val="E37CBDA6"/>
    <w:rsid w:val="E3BFD31C"/>
    <w:rsid w:val="E49DAE6B"/>
    <w:rsid w:val="E4E3F713"/>
    <w:rsid w:val="E5BDEF37"/>
    <w:rsid w:val="E5CC25DD"/>
    <w:rsid w:val="E5FFB454"/>
    <w:rsid w:val="E7B79DB6"/>
    <w:rsid w:val="E9E718CE"/>
    <w:rsid w:val="E9F71EFB"/>
    <w:rsid w:val="E9FBEE45"/>
    <w:rsid w:val="EB754B21"/>
    <w:rsid w:val="EBCB4D75"/>
    <w:rsid w:val="ECBFB83A"/>
    <w:rsid w:val="ECEBECC0"/>
    <w:rsid w:val="ECFF0A32"/>
    <w:rsid w:val="ED6E7335"/>
    <w:rsid w:val="ED7FAFE8"/>
    <w:rsid w:val="EE4FFE04"/>
    <w:rsid w:val="EEEF7A3A"/>
    <w:rsid w:val="EEF49369"/>
    <w:rsid w:val="EF1B86FB"/>
    <w:rsid w:val="EF5BB17A"/>
    <w:rsid w:val="EFBBE7CC"/>
    <w:rsid w:val="EFBC6E26"/>
    <w:rsid w:val="EFD3AF22"/>
    <w:rsid w:val="EFDB91A6"/>
    <w:rsid w:val="EFEF83A5"/>
    <w:rsid w:val="EFF9119E"/>
    <w:rsid w:val="EFF9AC90"/>
    <w:rsid w:val="EFFFA69D"/>
    <w:rsid w:val="F0F0B847"/>
    <w:rsid w:val="F0FFC419"/>
    <w:rsid w:val="F3ADD271"/>
    <w:rsid w:val="F3FB5EA4"/>
    <w:rsid w:val="F3FD7AD3"/>
    <w:rsid w:val="F4FF2441"/>
    <w:rsid w:val="F553EE8C"/>
    <w:rsid w:val="F5D6DC0B"/>
    <w:rsid w:val="F5E975E3"/>
    <w:rsid w:val="F5F18CA5"/>
    <w:rsid w:val="F6BFA36F"/>
    <w:rsid w:val="F6F7689C"/>
    <w:rsid w:val="F6F9EF95"/>
    <w:rsid w:val="F723FA13"/>
    <w:rsid w:val="F75E7D68"/>
    <w:rsid w:val="F763C914"/>
    <w:rsid w:val="F779D8BF"/>
    <w:rsid w:val="F7BAFEFF"/>
    <w:rsid w:val="F7CBAAE6"/>
    <w:rsid w:val="F7D70E90"/>
    <w:rsid w:val="F7EB7C75"/>
    <w:rsid w:val="F7FCC670"/>
    <w:rsid w:val="F87DE328"/>
    <w:rsid w:val="F89E14F6"/>
    <w:rsid w:val="F8EF5264"/>
    <w:rsid w:val="F8F35299"/>
    <w:rsid w:val="F97F9B37"/>
    <w:rsid w:val="F9B5DD65"/>
    <w:rsid w:val="F9DD5D44"/>
    <w:rsid w:val="F9E9C0B7"/>
    <w:rsid w:val="F9FFEE14"/>
    <w:rsid w:val="FAAFE604"/>
    <w:rsid w:val="FABB0F7E"/>
    <w:rsid w:val="FADF75D4"/>
    <w:rsid w:val="FAEF6D0E"/>
    <w:rsid w:val="FB3F3D0A"/>
    <w:rsid w:val="FB5C6BED"/>
    <w:rsid w:val="FB7D81CF"/>
    <w:rsid w:val="FBCF6035"/>
    <w:rsid w:val="FD5B896B"/>
    <w:rsid w:val="FD773486"/>
    <w:rsid w:val="FD9FB2BD"/>
    <w:rsid w:val="FDB093B9"/>
    <w:rsid w:val="FDBBDBE0"/>
    <w:rsid w:val="FDBF297B"/>
    <w:rsid w:val="FDD177F0"/>
    <w:rsid w:val="FDDB02C3"/>
    <w:rsid w:val="FDF9D3E5"/>
    <w:rsid w:val="FDFCA92C"/>
    <w:rsid w:val="FDFD25DB"/>
    <w:rsid w:val="FDFF9397"/>
    <w:rsid w:val="FE6D97D5"/>
    <w:rsid w:val="FE734873"/>
    <w:rsid w:val="FEAE2052"/>
    <w:rsid w:val="FEBB32ED"/>
    <w:rsid w:val="FEF93A01"/>
    <w:rsid w:val="FF33E436"/>
    <w:rsid w:val="FF3F0921"/>
    <w:rsid w:val="FF3FD143"/>
    <w:rsid w:val="FF4D6A1F"/>
    <w:rsid w:val="FF5F11E0"/>
    <w:rsid w:val="FF5FA687"/>
    <w:rsid w:val="FF752873"/>
    <w:rsid w:val="FF7FA5A1"/>
    <w:rsid w:val="FFB75063"/>
    <w:rsid w:val="FFBAE2A3"/>
    <w:rsid w:val="FFBAF135"/>
    <w:rsid w:val="FFBF712D"/>
    <w:rsid w:val="FFCB0812"/>
    <w:rsid w:val="FFD1DE62"/>
    <w:rsid w:val="FFDD8455"/>
    <w:rsid w:val="FFDF085D"/>
    <w:rsid w:val="FFDF4259"/>
    <w:rsid w:val="FFEF7853"/>
    <w:rsid w:val="FFF6C5A6"/>
    <w:rsid w:val="FFF7E479"/>
    <w:rsid w:val="FFFD4200"/>
    <w:rsid w:val="FFFD60AF"/>
    <w:rsid w:val="FFFDEBC0"/>
    <w:rsid w:val="FFFEEA1F"/>
    <w:rsid w:val="FFFF35E1"/>
    <w:rsid w:val="FFFF9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420" w:leftChars="200"/>
    </w:pPr>
    <w:rPr>
      <w:rFonts w:ascii="Times New Roman" w:hAnsi="Times New Roman" w:eastAsia="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Table Paragraph"/>
    <w:basedOn w:val="1"/>
    <w:qFormat/>
    <w:uiPriority w:val="1"/>
    <w:rPr>
      <w:rFonts w:ascii="宋体" w:hAnsi="宋体" w:cs="宋体"/>
      <w:szCs w:val="24"/>
      <w:lang w:val="zh-CN" w:bidi="zh-CN"/>
    </w:rPr>
  </w:style>
  <w:style w:type="character" w:customStyle="1" w:styleId="10">
    <w:name w:val="font31"/>
    <w:basedOn w:val="8"/>
    <w:qFormat/>
    <w:uiPriority w:val="0"/>
    <w:rPr>
      <w:rFonts w:hint="eastAsia" w:ascii="宋体" w:hAnsi="宋体" w:eastAsia="宋体" w:cs="宋体"/>
      <w:color w:val="000000"/>
      <w:sz w:val="24"/>
      <w:szCs w:val="24"/>
      <w:u w:val="none"/>
    </w:rPr>
  </w:style>
  <w:style w:type="character" w:customStyle="1" w:styleId="11">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3648</Words>
  <Characters>3737</Characters>
  <Lines>0</Lines>
  <Paragraphs>0</Paragraphs>
  <TotalTime>0</TotalTime>
  <ScaleCrop>false</ScaleCrop>
  <LinksUpToDate>false</LinksUpToDate>
  <CharactersWithSpaces>3788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2021-10-31T10:12:00Z</dcterms:created>
  <dc:creator>曲静</dc:creator>
  <cp:lastModifiedBy>baixin</cp:lastModifiedBy>
  <cp:lastPrinted>2022-06-25T01:56:00Z</cp:lastPrinted>
  <dcterms:modified xsi:type="dcterms:W3CDTF">2022-06-24T16:42:06Z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D80084E29C304008BAD987ACD4F1BB58</vt:lpwstr>
  </property>
</Properties>
</file>