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5" Type="http://schemas.microsoft.com/office/2006/relationships/ui/userCustomization" Target="userCustomization/customUI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附件2</w:t>
      </w:r>
    </w:p>
    <w:p>
      <w:pPr>
        <w:widowControl/>
        <w:jc w:val="left"/>
        <w:rPr>
          <w:rFonts w:eastAsia="方正小标宋简体"/>
          <w:sz w:val="44"/>
          <w:szCs w:val="44"/>
        </w:rPr>
      </w:pPr>
    </w:p>
    <w:p>
      <w:pPr>
        <w:widowControl/>
        <w:jc w:val="left"/>
        <w:rPr>
          <w:rFonts w:eastAsia="方正小标宋简体"/>
          <w:sz w:val="44"/>
          <w:szCs w:val="44"/>
        </w:rPr>
      </w:pPr>
    </w:p>
    <w:p>
      <w:pPr>
        <w:widowControl/>
        <w:jc w:val="center"/>
        <w:rPr>
          <w:rFonts w:eastAsia="黑体"/>
          <w:sz w:val="52"/>
          <w:szCs w:val="52"/>
        </w:rPr>
      </w:pPr>
    </w:p>
    <w:p>
      <w:pPr>
        <w:widowControl/>
        <w:jc w:val="center"/>
        <w:rPr>
          <w:rFonts w:eastAsia="方正小标宋_GBK"/>
          <w:sz w:val="48"/>
          <w:szCs w:val="48"/>
          <w:u w:val="single"/>
        </w:rPr>
      </w:pPr>
      <w:r>
        <w:rPr>
          <w:rFonts w:eastAsia="方正小标宋_GBK"/>
          <w:sz w:val="48"/>
          <w:szCs w:val="48"/>
          <w:u w:val="single"/>
        </w:rPr>
        <w:t>（××服务业集聚区名称）</w:t>
      </w:r>
    </w:p>
    <w:p>
      <w:pPr>
        <w:widowControl/>
        <w:jc w:val="center"/>
        <w:rPr>
          <w:rFonts w:eastAsia="方正小标宋_GBK"/>
          <w:sz w:val="44"/>
          <w:szCs w:val="44"/>
        </w:rPr>
      </w:pPr>
    </w:p>
    <w:p>
      <w:pPr>
        <w:widowControl/>
        <w:jc w:val="center"/>
        <w:rPr>
          <w:rFonts w:eastAsia="方正小标宋_GBK"/>
          <w:sz w:val="72"/>
          <w:szCs w:val="72"/>
        </w:rPr>
      </w:pPr>
      <w:r>
        <w:rPr>
          <w:rFonts w:hint="eastAsia" w:eastAsia="方正小标宋_GBK"/>
          <w:sz w:val="72"/>
          <w:szCs w:val="72"/>
          <w:lang w:val="en-US" w:eastAsia="zh-CN"/>
        </w:rPr>
        <w:t>实施</w:t>
      </w:r>
      <w:r>
        <w:rPr>
          <w:rFonts w:eastAsia="方正小标宋_GBK"/>
          <w:sz w:val="72"/>
          <w:szCs w:val="72"/>
        </w:rPr>
        <w:t>方案</w:t>
      </w:r>
    </w:p>
    <w:p>
      <w:pPr>
        <w:widowControl/>
        <w:jc w:val="center"/>
        <w:rPr>
          <w:rFonts w:eastAsia="方正小标宋简体"/>
          <w:sz w:val="44"/>
          <w:szCs w:val="44"/>
        </w:rPr>
      </w:pPr>
    </w:p>
    <w:p>
      <w:pPr>
        <w:widowControl/>
        <w:jc w:val="center"/>
        <w:rPr>
          <w:rFonts w:eastAsia="方正小标宋简体"/>
          <w:sz w:val="44"/>
          <w:szCs w:val="44"/>
        </w:rPr>
      </w:pPr>
    </w:p>
    <w:p>
      <w:pPr>
        <w:widowControl/>
        <w:jc w:val="center"/>
        <w:rPr>
          <w:rFonts w:eastAsia="方正小标宋简体"/>
          <w:sz w:val="44"/>
          <w:szCs w:val="44"/>
        </w:rPr>
      </w:pPr>
    </w:p>
    <w:p>
      <w:pPr>
        <w:widowControl/>
        <w:jc w:val="center"/>
        <w:rPr>
          <w:rFonts w:eastAsia="方正小标宋简体"/>
          <w:sz w:val="44"/>
          <w:szCs w:val="44"/>
        </w:rPr>
      </w:pPr>
    </w:p>
    <w:p>
      <w:pPr>
        <w:widowControl/>
        <w:jc w:val="center"/>
        <w:rPr>
          <w:rFonts w:eastAsia="方正小标宋简体"/>
          <w:sz w:val="44"/>
          <w:szCs w:val="44"/>
        </w:rPr>
      </w:pPr>
    </w:p>
    <w:p>
      <w:pPr>
        <w:widowControl/>
        <w:jc w:val="center"/>
        <w:rPr>
          <w:rFonts w:eastAsia="楷体_GB2312"/>
          <w:sz w:val="44"/>
          <w:szCs w:val="44"/>
        </w:rPr>
      </w:pPr>
      <w:r>
        <w:rPr>
          <w:rFonts w:eastAsia="楷体_GB2312"/>
          <w:sz w:val="44"/>
          <w:szCs w:val="44"/>
        </w:rPr>
        <w:t>封面</w:t>
      </w:r>
    </w:p>
    <w:p>
      <w:pPr>
        <w:widowControl/>
        <w:jc w:val="center"/>
        <w:rPr>
          <w:rFonts w:eastAsia="方正小标宋简体"/>
          <w:sz w:val="44"/>
          <w:szCs w:val="44"/>
        </w:rPr>
      </w:pPr>
    </w:p>
    <w:p>
      <w:pPr>
        <w:widowControl/>
        <w:jc w:val="center"/>
        <w:rPr>
          <w:rFonts w:eastAsia="方正小标宋简体"/>
          <w:sz w:val="44"/>
          <w:szCs w:val="44"/>
        </w:rPr>
      </w:pPr>
    </w:p>
    <w:p>
      <w:pPr>
        <w:widowControl/>
        <w:jc w:val="center"/>
        <w:rPr>
          <w:rFonts w:eastAsia="方正小标宋简体"/>
          <w:sz w:val="44"/>
          <w:szCs w:val="44"/>
        </w:rPr>
      </w:pPr>
    </w:p>
    <w:p>
      <w:pPr>
        <w:widowControl/>
        <w:jc w:val="center"/>
        <w:rPr>
          <w:rFonts w:eastAsia="方正小标宋简体"/>
          <w:sz w:val="44"/>
          <w:szCs w:val="44"/>
        </w:rPr>
      </w:pPr>
    </w:p>
    <w:p>
      <w:pPr>
        <w:widowControl/>
        <w:jc w:val="center"/>
        <w:rPr>
          <w:rFonts w:eastAsia="方正小标宋简体"/>
          <w:sz w:val="44"/>
          <w:szCs w:val="44"/>
        </w:rPr>
      </w:pPr>
    </w:p>
    <w:p>
      <w:pPr>
        <w:widowControl/>
        <w:jc w:val="center"/>
        <w:rPr>
          <w:rFonts w:eastAsia="方正小标宋简体"/>
          <w:sz w:val="44"/>
          <w:szCs w:val="44"/>
        </w:rPr>
      </w:pPr>
    </w:p>
    <w:p>
      <w:pPr>
        <w:widowControl/>
        <w:spacing w:line="660" w:lineRule="exac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申请单位：</w:t>
      </w:r>
      <w:r>
        <w:rPr>
          <w:rFonts w:eastAsia="黑体"/>
          <w:sz w:val="32"/>
          <w:szCs w:val="32"/>
          <w:u w:val="single"/>
        </w:rPr>
        <w:t xml:space="preserve">          </w:t>
      </w:r>
      <w:r>
        <w:rPr>
          <w:rFonts w:eastAsia="楷体_GB2312"/>
          <w:b/>
          <w:sz w:val="32"/>
          <w:szCs w:val="32"/>
          <w:u w:val="single"/>
        </w:rPr>
        <w:t xml:space="preserve">（标准全称）（盖章） </w:t>
      </w:r>
      <w:r>
        <w:rPr>
          <w:rFonts w:eastAsia="黑体"/>
          <w:sz w:val="32"/>
          <w:szCs w:val="32"/>
          <w:u w:val="single"/>
        </w:rPr>
        <w:t xml:space="preserve">            </w:t>
      </w:r>
    </w:p>
    <w:p>
      <w:pPr>
        <w:widowControl/>
        <w:spacing w:line="660" w:lineRule="exact"/>
        <w:rPr>
          <w:rFonts w:eastAsia="黑体"/>
          <w:sz w:val="32"/>
          <w:szCs w:val="32"/>
          <w:u w:val="single"/>
        </w:rPr>
      </w:pPr>
      <w:r>
        <w:rPr>
          <w:rFonts w:eastAsia="黑体"/>
          <w:sz w:val="32"/>
          <w:szCs w:val="32"/>
        </w:rPr>
        <w:t>申请单位联系人及电话：</w:t>
      </w:r>
      <w:r>
        <w:rPr>
          <w:rFonts w:eastAsia="黑体"/>
          <w:sz w:val="32"/>
          <w:szCs w:val="32"/>
          <w:u w:val="single"/>
        </w:rPr>
        <w:t xml:space="preserve">                              </w:t>
      </w:r>
    </w:p>
    <w:p>
      <w:pPr>
        <w:widowControl/>
        <w:spacing w:line="660" w:lineRule="exact"/>
        <w:rPr>
          <w:rFonts w:eastAsia="黑体"/>
          <w:sz w:val="32"/>
          <w:szCs w:val="32"/>
          <w:u w:val="single"/>
        </w:rPr>
        <w:sectPr>
          <w:pgSz w:w="11906" w:h="16838"/>
          <w:pgMar w:top="1418" w:right="1418" w:bottom="1418" w:left="1418" w:header="851" w:footer="992" w:gutter="0"/>
          <w:cols w:space="720" w:num="1"/>
          <w:docGrid w:linePitch="312" w:charSpace="0"/>
        </w:sectPr>
      </w:pPr>
      <w:r>
        <w:rPr>
          <w:rFonts w:eastAsia="黑体"/>
          <w:sz w:val="32"/>
          <w:szCs w:val="32"/>
        </w:rPr>
        <w:t>申请时间：</w:t>
      </w:r>
      <w:r>
        <w:rPr>
          <w:rFonts w:eastAsia="黑体"/>
          <w:sz w:val="32"/>
          <w:szCs w:val="32"/>
          <w:u w:val="single"/>
        </w:rPr>
        <w:t xml:space="preserve">              </w:t>
      </w:r>
      <w:r>
        <w:rPr>
          <w:rFonts w:eastAsia="楷体_GB2312"/>
          <w:b/>
          <w:sz w:val="32"/>
          <w:szCs w:val="32"/>
          <w:u w:val="single"/>
        </w:rPr>
        <w:t xml:space="preserve"> 202</w:t>
      </w:r>
      <w:r>
        <w:rPr>
          <w:rFonts w:hint="eastAsia" w:eastAsia="楷体_GB2312"/>
          <w:b/>
          <w:sz w:val="32"/>
          <w:szCs w:val="32"/>
          <w:u w:val="single"/>
          <w:lang w:val="en-US" w:eastAsia="zh-CN"/>
        </w:rPr>
        <w:t>1</w:t>
      </w:r>
      <w:r>
        <w:rPr>
          <w:rFonts w:eastAsia="楷体_GB2312"/>
          <w:b/>
          <w:sz w:val="32"/>
          <w:szCs w:val="32"/>
          <w:u w:val="single"/>
        </w:rPr>
        <w:t xml:space="preserve">年X月X日 </w:t>
      </w:r>
      <w:r>
        <w:rPr>
          <w:rFonts w:eastAsia="黑体"/>
          <w:sz w:val="32"/>
          <w:szCs w:val="32"/>
          <w:u w:val="single"/>
        </w:rPr>
        <w:t xml:space="preserve">              </w:t>
      </w:r>
    </w:p>
    <w:p>
      <w:pPr>
        <w:keepNext/>
        <w:keepLines/>
        <w:spacing w:before="120" w:after="120" w:line="578" w:lineRule="auto"/>
        <w:jc w:val="center"/>
        <w:outlineLvl w:val="0"/>
        <w:rPr>
          <w:rFonts w:eastAsia="宋体"/>
          <w:b/>
          <w:bCs/>
          <w:kern w:val="44"/>
          <w:sz w:val="44"/>
          <w:szCs w:val="44"/>
        </w:rPr>
      </w:pPr>
      <w:bookmarkStart w:id="0" w:name="_Toc486795622"/>
      <w:bookmarkStart w:id="1" w:name="_Toc486795826"/>
      <w:bookmarkStart w:id="2" w:name="_Toc486801189"/>
      <w:bookmarkStart w:id="3" w:name="_Toc486801674"/>
      <w:bookmarkStart w:id="4" w:name="_Toc486795942"/>
      <w:bookmarkStart w:id="5" w:name="_Toc486801738"/>
      <w:bookmarkStart w:id="6" w:name="_Toc486796761"/>
      <w:bookmarkStart w:id="7" w:name="_Toc486796976"/>
    </w:p>
    <w:p>
      <w:pPr>
        <w:keepNext/>
        <w:keepLines/>
        <w:spacing w:before="120" w:after="120" w:line="578" w:lineRule="auto"/>
        <w:jc w:val="center"/>
        <w:outlineLvl w:val="0"/>
        <w:rPr>
          <w:rFonts w:eastAsia="方正小标宋简体"/>
          <w:bCs/>
          <w:kern w:val="44"/>
          <w:sz w:val="44"/>
          <w:szCs w:val="44"/>
        </w:rPr>
      </w:pPr>
      <w:r>
        <w:rPr>
          <w:rFonts w:hint="eastAsia" w:eastAsia="方正小标宋简体"/>
          <w:bCs/>
          <w:kern w:val="44"/>
          <w:sz w:val="44"/>
          <w:szCs w:val="44"/>
          <w:lang w:val="en-US" w:eastAsia="zh-CN"/>
        </w:rPr>
        <w:t>实施</w:t>
      </w:r>
      <w:r>
        <w:rPr>
          <w:rFonts w:eastAsia="方正小标宋简体"/>
          <w:bCs/>
          <w:kern w:val="44"/>
          <w:sz w:val="44"/>
          <w:szCs w:val="44"/>
        </w:rPr>
        <w:t>方案编制说明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>
      <w:pPr>
        <w:spacing w:line="54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为保证申报材料格式规范统一，便于评审专家审核，请在编制服务业集聚区</w:t>
      </w:r>
      <w:r>
        <w:rPr>
          <w:rFonts w:hint="eastAsia" w:eastAsia="仿宋_GB2312"/>
          <w:sz w:val="32"/>
          <w:szCs w:val="32"/>
          <w:lang w:val="en-US" w:eastAsia="zh-CN"/>
        </w:rPr>
        <w:t>实施</w:t>
      </w:r>
      <w:r>
        <w:rPr>
          <w:rFonts w:eastAsia="仿宋_GB2312"/>
          <w:sz w:val="32"/>
          <w:szCs w:val="32"/>
        </w:rPr>
        <w:t>方案过程中严格遵循以下格式要求：</w:t>
      </w:r>
    </w:p>
    <w:p>
      <w:pPr>
        <w:spacing w:line="540" w:lineRule="exact"/>
        <w:ind w:firstLine="640" w:firstLineChars="200"/>
        <w:rPr>
          <w:rFonts w:eastAsia="黑体"/>
          <w:bCs/>
          <w:kern w:val="44"/>
          <w:sz w:val="32"/>
          <w:szCs w:val="32"/>
        </w:rPr>
      </w:pPr>
      <w:bookmarkStart w:id="8" w:name="_Toc486796762"/>
      <w:bookmarkStart w:id="9" w:name="_Toc486801190"/>
      <w:bookmarkStart w:id="10" w:name="_Toc486801739"/>
      <w:bookmarkStart w:id="11" w:name="_Toc486795827"/>
      <w:bookmarkStart w:id="12" w:name="_Toc486796977"/>
      <w:bookmarkStart w:id="13" w:name="_Toc486795623"/>
      <w:bookmarkStart w:id="14" w:name="_Toc486801675"/>
      <w:bookmarkStart w:id="15" w:name="_Toc486795943"/>
      <w:r>
        <w:rPr>
          <w:rFonts w:eastAsia="黑体"/>
          <w:bCs/>
          <w:kern w:val="44"/>
          <w:sz w:val="32"/>
          <w:szCs w:val="32"/>
        </w:rPr>
        <w:t>一、</w:t>
      </w:r>
      <w:r>
        <w:rPr>
          <w:rFonts w:hint="eastAsia" w:eastAsia="黑体"/>
          <w:bCs/>
          <w:kern w:val="44"/>
          <w:sz w:val="32"/>
          <w:szCs w:val="32"/>
          <w:lang w:val="en-US" w:eastAsia="zh-CN"/>
        </w:rPr>
        <w:t>实施</w:t>
      </w:r>
      <w:r>
        <w:rPr>
          <w:rFonts w:eastAsia="黑体"/>
          <w:bCs/>
          <w:kern w:val="44"/>
          <w:sz w:val="32"/>
          <w:szCs w:val="32"/>
        </w:rPr>
        <w:t>方案正文的字体字号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>
      <w:pPr>
        <w:spacing w:line="54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标题使用二号方正小标宋_GBK字体，居中。</w:t>
      </w:r>
    </w:p>
    <w:p>
      <w:pPr>
        <w:spacing w:line="54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一级标题使用三号黑体，左对齐，首行缩进2字符。</w:t>
      </w:r>
    </w:p>
    <w:p>
      <w:pPr>
        <w:spacing w:line="54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二级标题使用三号楷体_GB2312加粗，左对齐，首行缩进2字符。</w:t>
      </w:r>
    </w:p>
    <w:p>
      <w:pPr>
        <w:spacing w:line="54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三级标题使用三号仿宋_GB2312加粗，左对齐，首行缩进2字符。</w:t>
      </w:r>
    </w:p>
    <w:p>
      <w:pPr>
        <w:spacing w:line="54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正文使用三号仿宋_GB2312，两端对齐，首行缩进2字符。数字及英文字母使用三号“Times New Roman”字体。</w:t>
      </w:r>
    </w:p>
    <w:p>
      <w:pPr>
        <w:spacing w:line="54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页码使用小四号半角阿拉伯数字，字体为Times New Roman，位于页面底部中间，从目录页开始至封底依次编码。</w:t>
      </w:r>
    </w:p>
    <w:p>
      <w:pPr>
        <w:spacing w:line="540" w:lineRule="exact"/>
        <w:ind w:firstLine="640" w:firstLineChars="200"/>
        <w:rPr>
          <w:rFonts w:eastAsia="黑体"/>
          <w:bCs/>
          <w:kern w:val="44"/>
          <w:sz w:val="32"/>
          <w:szCs w:val="32"/>
        </w:rPr>
      </w:pPr>
      <w:bookmarkStart w:id="16" w:name="_Toc486795624"/>
      <w:bookmarkStart w:id="17" w:name="_Toc486795828"/>
      <w:bookmarkStart w:id="18" w:name="_Toc486795944"/>
      <w:bookmarkStart w:id="19" w:name="_Toc486796763"/>
      <w:bookmarkStart w:id="20" w:name="_Toc486796978"/>
      <w:bookmarkStart w:id="21" w:name="_Toc486801191"/>
      <w:bookmarkStart w:id="22" w:name="_Toc486801676"/>
      <w:bookmarkStart w:id="23" w:name="_Toc486801740"/>
      <w:r>
        <w:rPr>
          <w:rFonts w:eastAsia="黑体"/>
          <w:bCs/>
          <w:kern w:val="44"/>
          <w:sz w:val="32"/>
          <w:szCs w:val="32"/>
        </w:rPr>
        <w:t>二、方案页边距及段落行距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r>
        <w:rPr>
          <w:rFonts w:eastAsia="黑体"/>
          <w:bCs/>
          <w:kern w:val="44"/>
          <w:sz w:val="32"/>
          <w:szCs w:val="32"/>
        </w:rPr>
        <w:t>：</w:t>
      </w:r>
      <w:r>
        <w:rPr>
          <w:rFonts w:eastAsia="仿宋_GB2312"/>
          <w:sz w:val="32"/>
          <w:szCs w:val="32"/>
        </w:rPr>
        <w:t>页边距统一设置为“上下左右各为2.5厘米”，纸张方向可根据正文内容设置为横向或纵向。段落行距统一设定为 “固定值”28磅。</w:t>
      </w:r>
    </w:p>
    <w:p>
      <w:pPr>
        <w:spacing w:line="540" w:lineRule="exact"/>
        <w:ind w:firstLine="640" w:firstLineChars="200"/>
        <w:rPr>
          <w:rFonts w:eastAsia="仿宋_GB2312"/>
          <w:sz w:val="32"/>
          <w:szCs w:val="32"/>
        </w:rPr>
      </w:pPr>
      <w:bookmarkStart w:id="24" w:name="_Toc486795625"/>
      <w:bookmarkStart w:id="25" w:name="_Toc486795829"/>
      <w:bookmarkStart w:id="26" w:name="_Toc486795945"/>
      <w:bookmarkStart w:id="27" w:name="_Toc486796764"/>
      <w:bookmarkStart w:id="28" w:name="_Toc486796979"/>
      <w:bookmarkStart w:id="29" w:name="_Toc486801192"/>
      <w:bookmarkStart w:id="30" w:name="_Toc486801677"/>
      <w:bookmarkStart w:id="31" w:name="_Toc486801741"/>
      <w:r>
        <w:rPr>
          <w:rFonts w:eastAsia="黑体"/>
          <w:bCs/>
          <w:kern w:val="44"/>
          <w:sz w:val="32"/>
          <w:szCs w:val="32"/>
        </w:rPr>
        <w:t>三、方案装订要求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r>
        <w:rPr>
          <w:rFonts w:eastAsia="黑体"/>
          <w:bCs/>
          <w:kern w:val="44"/>
          <w:sz w:val="32"/>
          <w:szCs w:val="32"/>
        </w:rPr>
        <w:t>：</w:t>
      </w:r>
      <w:r>
        <w:rPr>
          <w:rFonts w:eastAsia="仿宋_GB2312"/>
          <w:sz w:val="32"/>
          <w:szCs w:val="32"/>
        </w:rPr>
        <w:t>正文用A4纸双面黑白打印，封面和封底使用白色布纹纸，胶装。</w:t>
      </w:r>
    </w:p>
    <w:p>
      <w:pPr>
        <w:spacing w:line="540" w:lineRule="exact"/>
        <w:ind w:firstLine="640" w:firstLineChars="200"/>
        <w:rPr>
          <w:rFonts w:eastAsia="仿宋_GB2312"/>
          <w:sz w:val="32"/>
          <w:szCs w:val="32"/>
        </w:rPr>
      </w:pPr>
      <w:bookmarkStart w:id="32" w:name="_Toc486795626"/>
      <w:bookmarkStart w:id="33" w:name="_Toc486795830"/>
      <w:bookmarkStart w:id="34" w:name="_Toc486795946"/>
      <w:bookmarkStart w:id="35" w:name="_Toc486796765"/>
      <w:bookmarkStart w:id="36" w:name="_Toc486796980"/>
      <w:bookmarkStart w:id="37" w:name="_Toc486801193"/>
      <w:bookmarkStart w:id="38" w:name="_Toc486801678"/>
      <w:bookmarkStart w:id="39" w:name="_Toc486801742"/>
      <w:r>
        <w:rPr>
          <w:rFonts w:eastAsia="黑体"/>
          <w:bCs/>
          <w:kern w:val="44"/>
          <w:sz w:val="32"/>
          <w:szCs w:val="32"/>
        </w:rPr>
        <w:t>四、目录：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r>
        <w:rPr>
          <w:rFonts w:eastAsia="仿宋_GB2312"/>
          <w:sz w:val="32"/>
          <w:szCs w:val="32"/>
        </w:rPr>
        <w:t>列出二级标题，并附页码</w:t>
      </w:r>
    </w:p>
    <w:p>
      <w:pPr>
        <w:spacing w:line="540" w:lineRule="exact"/>
        <w:ind w:firstLine="640" w:firstLineChars="200"/>
        <w:rPr>
          <w:rFonts w:eastAsia="仿宋_GB2312"/>
          <w:sz w:val="32"/>
          <w:szCs w:val="32"/>
        </w:rPr>
      </w:pPr>
      <w:bookmarkStart w:id="40" w:name="_Toc486795627"/>
      <w:bookmarkStart w:id="41" w:name="_Toc486795831"/>
      <w:bookmarkStart w:id="42" w:name="_Toc486795947"/>
      <w:bookmarkStart w:id="43" w:name="_Toc486796766"/>
      <w:bookmarkStart w:id="44" w:name="_Toc486796981"/>
      <w:bookmarkStart w:id="45" w:name="_Toc486801194"/>
      <w:bookmarkStart w:id="46" w:name="_Toc486801679"/>
      <w:bookmarkStart w:id="47" w:name="_Toc486801743"/>
      <w:r>
        <w:rPr>
          <w:rFonts w:eastAsia="黑体"/>
          <w:bCs/>
          <w:kern w:val="44"/>
          <w:sz w:val="32"/>
          <w:szCs w:val="32"/>
        </w:rPr>
        <w:t>五、附件：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r>
        <w:rPr>
          <w:rFonts w:eastAsia="仿宋_GB2312"/>
          <w:sz w:val="32"/>
          <w:szCs w:val="32"/>
        </w:rPr>
        <w:t>证明材料复印件要清晰可认，支撑正文内容有力。</w:t>
      </w:r>
    </w:p>
    <w:p>
      <w:pPr>
        <w:jc w:val="center"/>
        <w:rPr>
          <w:rFonts w:eastAsia="方正小标宋_GBK"/>
          <w:sz w:val="44"/>
          <w:szCs w:val="44"/>
        </w:rPr>
      </w:pPr>
    </w:p>
    <w:p>
      <w:pPr>
        <w:jc w:val="center"/>
        <w:rPr>
          <w:rFonts w:eastAsia="方正小标宋_GBK"/>
          <w:sz w:val="44"/>
          <w:szCs w:val="44"/>
        </w:rPr>
      </w:pPr>
      <w:r>
        <w:rPr>
          <w:rFonts w:hint="eastAsia" w:eastAsia="方正小标宋_GBK"/>
          <w:sz w:val="44"/>
          <w:szCs w:val="44"/>
          <w:lang w:val="en-US" w:eastAsia="zh-CN"/>
        </w:rPr>
        <w:t>实施</w:t>
      </w:r>
      <w:r>
        <w:rPr>
          <w:rFonts w:eastAsia="方正小标宋_GBK"/>
          <w:sz w:val="44"/>
          <w:szCs w:val="44"/>
        </w:rPr>
        <w:t>方案编制大纲</w:t>
      </w:r>
    </w:p>
    <w:p>
      <w:pPr>
        <w:ind w:firstLine="640" w:firstLineChars="200"/>
        <w:rPr>
          <w:rFonts w:eastAsia="黑体"/>
          <w:sz w:val="32"/>
          <w:szCs w:val="32"/>
        </w:rPr>
      </w:pPr>
    </w:p>
    <w:p>
      <w:pPr>
        <w:ind w:firstLine="640" w:firstLineChars="20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第一章 总则</w:t>
      </w:r>
    </w:p>
    <w:p>
      <w:pPr>
        <w:ind w:firstLine="643" w:firstLineChars="200"/>
        <w:rPr>
          <w:rFonts w:eastAsia="楷体_GB2312"/>
          <w:b/>
          <w:bCs/>
          <w:sz w:val="32"/>
          <w:szCs w:val="32"/>
        </w:rPr>
      </w:pPr>
      <w:r>
        <w:rPr>
          <w:rFonts w:eastAsia="楷体_GB2312"/>
          <w:b/>
          <w:bCs/>
          <w:sz w:val="32"/>
          <w:szCs w:val="32"/>
        </w:rPr>
        <w:t>一、实施目的</w:t>
      </w:r>
      <w:r>
        <w:rPr>
          <w:rFonts w:eastAsia="楷体_GB2312"/>
          <w:b/>
          <w:bCs/>
          <w:sz w:val="32"/>
          <w:szCs w:val="32"/>
        </w:rPr>
        <w:tab/>
      </w:r>
    </w:p>
    <w:p>
      <w:pPr>
        <w:ind w:firstLine="643" w:firstLineChars="200"/>
        <w:rPr>
          <w:rFonts w:eastAsia="楷体_GB2312"/>
          <w:b/>
          <w:bCs/>
          <w:sz w:val="32"/>
          <w:szCs w:val="32"/>
        </w:rPr>
      </w:pPr>
      <w:r>
        <w:rPr>
          <w:rFonts w:eastAsia="楷体_GB2312"/>
          <w:b/>
          <w:bCs/>
          <w:sz w:val="32"/>
          <w:szCs w:val="32"/>
        </w:rPr>
        <w:t>二、方案概况</w:t>
      </w:r>
    </w:p>
    <w:p>
      <w:pPr>
        <w:ind w:firstLine="643" w:firstLineChars="200"/>
        <w:rPr>
          <w:rFonts w:eastAsia="仿宋_GB2312"/>
          <w:b/>
          <w:bCs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（一）</w:t>
      </w:r>
      <w:r>
        <w:rPr>
          <w:rFonts w:hint="eastAsia" w:eastAsia="仿宋_GB2312"/>
          <w:b/>
          <w:bCs/>
          <w:sz w:val="32"/>
          <w:szCs w:val="32"/>
          <w:lang w:val="en-US" w:eastAsia="zh-CN"/>
        </w:rPr>
        <w:t>集聚区发展</w:t>
      </w:r>
      <w:r>
        <w:rPr>
          <w:rFonts w:eastAsia="仿宋_GB2312"/>
          <w:b/>
          <w:bCs/>
          <w:sz w:val="32"/>
          <w:szCs w:val="32"/>
        </w:rPr>
        <w:t>基本情况</w:t>
      </w:r>
      <w:r>
        <w:rPr>
          <w:rFonts w:eastAsia="仿宋_GB2312"/>
          <w:b/>
          <w:bCs/>
          <w:sz w:val="32"/>
          <w:szCs w:val="32"/>
        </w:rPr>
        <w:tab/>
      </w:r>
    </w:p>
    <w:p>
      <w:pPr>
        <w:ind w:firstLine="643" w:firstLineChars="200"/>
        <w:rPr>
          <w:rFonts w:eastAsia="仿宋_GB2312"/>
          <w:b/>
          <w:bCs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（二）申报类别</w:t>
      </w:r>
    </w:p>
    <w:p>
      <w:pPr>
        <w:ind w:firstLine="643" w:firstLineChars="200"/>
        <w:rPr>
          <w:rFonts w:eastAsia="仿宋_GB2312"/>
          <w:b/>
          <w:bCs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（三）申报条件对照</w:t>
      </w:r>
      <w:r>
        <w:rPr>
          <w:rFonts w:eastAsia="仿宋_GB2312"/>
          <w:b/>
          <w:bCs/>
          <w:sz w:val="32"/>
          <w:szCs w:val="32"/>
        </w:rPr>
        <w:tab/>
      </w:r>
    </w:p>
    <w:p>
      <w:pPr>
        <w:ind w:firstLine="643" w:firstLineChars="200"/>
        <w:rPr>
          <w:rFonts w:eastAsia="楷体_GB2312"/>
          <w:b/>
          <w:bCs/>
          <w:sz w:val="32"/>
          <w:szCs w:val="32"/>
        </w:rPr>
      </w:pPr>
      <w:r>
        <w:rPr>
          <w:rFonts w:eastAsia="楷体_GB2312"/>
          <w:b/>
          <w:bCs/>
          <w:sz w:val="32"/>
          <w:szCs w:val="32"/>
        </w:rPr>
        <w:t>三、编制依据</w:t>
      </w:r>
    </w:p>
    <w:p>
      <w:pPr>
        <w:ind w:firstLine="640" w:firstLineChars="20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 xml:space="preserve">第二章  </w:t>
      </w:r>
      <w:r>
        <w:rPr>
          <w:rFonts w:hint="eastAsia" w:eastAsia="黑体"/>
          <w:sz w:val="32"/>
          <w:szCs w:val="32"/>
          <w:lang w:val="en-US" w:eastAsia="zh-CN"/>
        </w:rPr>
        <w:t>集聚</w:t>
      </w:r>
      <w:r>
        <w:rPr>
          <w:rFonts w:eastAsia="黑体"/>
          <w:sz w:val="32"/>
          <w:szCs w:val="32"/>
        </w:rPr>
        <w:t>区现状</w:t>
      </w:r>
    </w:p>
    <w:p>
      <w:pPr>
        <w:ind w:firstLine="643" w:firstLineChars="200"/>
        <w:rPr>
          <w:rFonts w:eastAsia="楷体_GB2312"/>
          <w:b/>
          <w:bCs/>
          <w:sz w:val="32"/>
          <w:szCs w:val="32"/>
        </w:rPr>
      </w:pPr>
      <w:r>
        <w:rPr>
          <w:rFonts w:eastAsia="楷体_GB2312"/>
          <w:b/>
          <w:bCs/>
          <w:sz w:val="32"/>
          <w:szCs w:val="32"/>
        </w:rPr>
        <w:t>一、所在区域概况</w:t>
      </w:r>
    </w:p>
    <w:p>
      <w:pPr>
        <w:ind w:firstLine="643" w:firstLineChars="200"/>
        <w:rPr>
          <w:rFonts w:eastAsia="楷体_GB2312"/>
          <w:b/>
          <w:bCs/>
          <w:sz w:val="32"/>
          <w:szCs w:val="32"/>
        </w:rPr>
      </w:pPr>
      <w:r>
        <w:rPr>
          <w:rFonts w:eastAsia="楷体_GB2312"/>
          <w:b/>
          <w:bCs/>
          <w:sz w:val="32"/>
          <w:szCs w:val="32"/>
        </w:rPr>
        <w:t>二、</w:t>
      </w:r>
      <w:r>
        <w:rPr>
          <w:rFonts w:hint="eastAsia" w:eastAsia="楷体_GB2312"/>
          <w:b/>
          <w:bCs/>
          <w:sz w:val="32"/>
          <w:szCs w:val="32"/>
          <w:lang w:val="en-US" w:eastAsia="zh-CN"/>
        </w:rPr>
        <w:t>集聚</w:t>
      </w:r>
      <w:r>
        <w:rPr>
          <w:rFonts w:eastAsia="楷体_GB2312"/>
          <w:b/>
          <w:bCs/>
          <w:sz w:val="32"/>
          <w:szCs w:val="32"/>
        </w:rPr>
        <w:t>区现状位置、范围及面积</w:t>
      </w:r>
    </w:p>
    <w:p>
      <w:pPr>
        <w:ind w:firstLine="643" w:firstLineChars="200"/>
        <w:rPr>
          <w:rFonts w:eastAsia="楷体_GB2312"/>
          <w:b/>
          <w:bCs/>
          <w:sz w:val="32"/>
          <w:szCs w:val="32"/>
        </w:rPr>
      </w:pPr>
      <w:r>
        <w:rPr>
          <w:rFonts w:eastAsia="楷体_GB2312"/>
          <w:b/>
          <w:bCs/>
          <w:sz w:val="32"/>
          <w:szCs w:val="32"/>
        </w:rPr>
        <w:t>三、</w:t>
      </w:r>
      <w:r>
        <w:rPr>
          <w:rFonts w:hint="eastAsia" w:eastAsia="楷体_GB2312"/>
          <w:b/>
          <w:bCs/>
          <w:sz w:val="32"/>
          <w:szCs w:val="32"/>
          <w:lang w:val="en-US" w:eastAsia="zh-CN"/>
        </w:rPr>
        <w:t>集聚</w:t>
      </w:r>
      <w:r>
        <w:rPr>
          <w:rFonts w:eastAsia="楷体_GB2312"/>
          <w:b/>
          <w:bCs/>
          <w:sz w:val="32"/>
          <w:szCs w:val="32"/>
        </w:rPr>
        <w:t>区建设现状</w:t>
      </w:r>
    </w:p>
    <w:p>
      <w:pPr>
        <w:ind w:firstLine="643" w:firstLineChars="200"/>
        <w:rPr>
          <w:rFonts w:eastAsia="楷体_GB2312"/>
          <w:b/>
          <w:bCs/>
          <w:sz w:val="32"/>
          <w:szCs w:val="32"/>
        </w:rPr>
      </w:pPr>
      <w:r>
        <w:rPr>
          <w:rFonts w:eastAsia="楷体_GB2312"/>
          <w:b/>
          <w:bCs/>
          <w:sz w:val="32"/>
          <w:szCs w:val="32"/>
        </w:rPr>
        <w:t>四、管理机构设置和运营机制</w:t>
      </w:r>
    </w:p>
    <w:p>
      <w:pPr>
        <w:ind w:firstLine="643" w:firstLineChars="200"/>
        <w:rPr>
          <w:rFonts w:eastAsia="仿宋_GB2312"/>
          <w:b/>
          <w:bCs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（一）管理机构</w:t>
      </w:r>
    </w:p>
    <w:p>
      <w:pPr>
        <w:ind w:firstLine="643" w:firstLineChars="200"/>
        <w:rPr>
          <w:rFonts w:eastAsia="仿宋_GB2312"/>
          <w:b/>
          <w:bCs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（二）运行机制</w:t>
      </w:r>
    </w:p>
    <w:p>
      <w:pPr>
        <w:ind w:firstLine="643" w:firstLineChars="200"/>
        <w:rPr>
          <w:rFonts w:eastAsia="楷体_GB2312"/>
          <w:b/>
          <w:bCs/>
          <w:sz w:val="32"/>
          <w:szCs w:val="32"/>
        </w:rPr>
      </w:pPr>
      <w:r>
        <w:rPr>
          <w:rFonts w:eastAsia="楷体_GB2312"/>
          <w:b/>
          <w:bCs/>
          <w:sz w:val="32"/>
          <w:szCs w:val="32"/>
        </w:rPr>
        <w:t>五、基础设施情况</w:t>
      </w:r>
    </w:p>
    <w:p>
      <w:pPr>
        <w:ind w:firstLine="643" w:firstLineChars="200"/>
        <w:rPr>
          <w:rFonts w:eastAsia="仿宋_GB2312"/>
          <w:b/>
          <w:bCs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（一）所在区域基础设施</w:t>
      </w:r>
    </w:p>
    <w:p>
      <w:pPr>
        <w:ind w:firstLine="643" w:firstLineChars="200"/>
        <w:rPr>
          <w:rFonts w:eastAsia="仿宋_GB2312"/>
          <w:b/>
          <w:bCs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（二）</w:t>
      </w:r>
      <w:r>
        <w:rPr>
          <w:rFonts w:hint="eastAsia" w:eastAsia="仿宋_GB2312"/>
          <w:b/>
          <w:bCs/>
          <w:sz w:val="32"/>
          <w:szCs w:val="32"/>
          <w:lang w:val="en-US" w:eastAsia="zh-CN"/>
        </w:rPr>
        <w:t>集聚</w:t>
      </w:r>
      <w:r>
        <w:rPr>
          <w:rFonts w:eastAsia="仿宋_GB2312"/>
          <w:b/>
          <w:bCs/>
          <w:sz w:val="32"/>
          <w:szCs w:val="32"/>
        </w:rPr>
        <w:t>区基础设施</w:t>
      </w:r>
    </w:p>
    <w:p>
      <w:pPr>
        <w:ind w:firstLine="643" w:firstLineChars="200"/>
        <w:rPr>
          <w:rFonts w:eastAsia="楷体_GB2312"/>
          <w:b/>
          <w:bCs/>
          <w:sz w:val="32"/>
          <w:szCs w:val="32"/>
        </w:rPr>
      </w:pPr>
      <w:r>
        <w:rPr>
          <w:rFonts w:eastAsia="楷体_GB2312"/>
          <w:b/>
          <w:bCs/>
          <w:sz w:val="32"/>
          <w:szCs w:val="32"/>
        </w:rPr>
        <w:t>六、公共服务平台情况</w:t>
      </w:r>
    </w:p>
    <w:p>
      <w:pPr>
        <w:ind w:firstLine="643" w:firstLineChars="200"/>
        <w:rPr>
          <w:rFonts w:eastAsia="仿宋_GB2312"/>
          <w:b/>
          <w:bCs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（一）所在区域营商环境及政务服务</w:t>
      </w:r>
    </w:p>
    <w:p>
      <w:pPr>
        <w:ind w:firstLine="643" w:firstLineChars="200"/>
        <w:rPr>
          <w:rFonts w:eastAsia="仿宋_GB2312"/>
          <w:b/>
          <w:bCs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（二）</w:t>
      </w:r>
      <w:r>
        <w:rPr>
          <w:rFonts w:hint="eastAsia" w:eastAsia="仿宋_GB2312"/>
          <w:b/>
          <w:bCs/>
          <w:sz w:val="32"/>
          <w:szCs w:val="32"/>
          <w:lang w:val="en-US" w:eastAsia="zh-CN"/>
        </w:rPr>
        <w:t>集聚</w:t>
      </w:r>
      <w:r>
        <w:rPr>
          <w:rFonts w:eastAsia="仿宋_GB2312"/>
          <w:b/>
          <w:bCs/>
          <w:sz w:val="32"/>
          <w:szCs w:val="32"/>
        </w:rPr>
        <w:t>区公共服务平台</w:t>
      </w:r>
    </w:p>
    <w:p>
      <w:pPr>
        <w:ind w:firstLine="640" w:firstLineChars="20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 xml:space="preserve">第三章  </w:t>
      </w:r>
      <w:r>
        <w:rPr>
          <w:rFonts w:hint="eastAsia" w:eastAsia="黑体"/>
          <w:sz w:val="32"/>
          <w:szCs w:val="32"/>
          <w:lang w:val="en-US" w:eastAsia="zh-CN"/>
        </w:rPr>
        <w:t>集聚</w:t>
      </w:r>
      <w:r>
        <w:rPr>
          <w:rFonts w:eastAsia="黑体"/>
          <w:sz w:val="32"/>
          <w:szCs w:val="32"/>
        </w:rPr>
        <w:t>区运营及企业情况</w:t>
      </w:r>
      <w:r>
        <w:rPr>
          <w:rFonts w:eastAsia="黑体"/>
          <w:sz w:val="32"/>
          <w:szCs w:val="32"/>
        </w:rPr>
        <w:tab/>
      </w:r>
    </w:p>
    <w:p>
      <w:pPr>
        <w:ind w:firstLine="643" w:firstLineChars="200"/>
        <w:rPr>
          <w:rFonts w:eastAsia="楷体_GB2312"/>
          <w:b/>
          <w:bCs/>
          <w:sz w:val="32"/>
          <w:szCs w:val="32"/>
        </w:rPr>
      </w:pPr>
      <w:r>
        <w:rPr>
          <w:rFonts w:eastAsia="楷体_GB2312"/>
          <w:b/>
          <w:bCs/>
          <w:sz w:val="32"/>
          <w:szCs w:val="32"/>
        </w:rPr>
        <w:t>一、主导产业情况及上一年度园区营业收入（产值）</w:t>
      </w:r>
    </w:p>
    <w:p>
      <w:pPr>
        <w:ind w:firstLine="643" w:firstLineChars="200"/>
        <w:rPr>
          <w:rFonts w:eastAsia="楷体_GB2312"/>
          <w:b/>
          <w:bCs/>
          <w:sz w:val="32"/>
          <w:szCs w:val="32"/>
        </w:rPr>
      </w:pPr>
      <w:r>
        <w:rPr>
          <w:rFonts w:eastAsia="楷体_GB2312"/>
          <w:b/>
          <w:bCs/>
          <w:sz w:val="32"/>
          <w:szCs w:val="32"/>
        </w:rPr>
        <w:t>二、入</w:t>
      </w:r>
      <w:r>
        <w:rPr>
          <w:rFonts w:hint="eastAsia" w:eastAsia="楷体_GB2312"/>
          <w:b/>
          <w:bCs/>
          <w:sz w:val="32"/>
          <w:szCs w:val="32"/>
          <w:lang w:val="en-US" w:eastAsia="zh-CN"/>
        </w:rPr>
        <w:t>驻</w:t>
      </w:r>
      <w:r>
        <w:rPr>
          <w:rFonts w:eastAsia="楷体_GB2312"/>
          <w:b/>
          <w:bCs/>
          <w:sz w:val="32"/>
          <w:szCs w:val="32"/>
        </w:rPr>
        <w:t>企业</w:t>
      </w:r>
    </w:p>
    <w:p>
      <w:pPr>
        <w:ind w:firstLine="643" w:firstLineChars="200"/>
        <w:rPr>
          <w:rFonts w:eastAsia="楷体_GB2312"/>
          <w:b/>
          <w:bCs/>
          <w:sz w:val="32"/>
          <w:szCs w:val="32"/>
        </w:rPr>
      </w:pPr>
      <w:r>
        <w:rPr>
          <w:rFonts w:eastAsia="楷体_GB2312"/>
          <w:b/>
          <w:bCs/>
          <w:sz w:val="32"/>
          <w:szCs w:val="32"/>
        </w:rPr>
        <w:t>三、主要代表性企业运营情况</w:t>
      </w:r>
      <w:r>
        <w:rPr>
          <w:rFonts w:eastAsia="楷体_GB2312"/>
          <w:b/>
          <w:bCs/>
          <w:sz w:val="32"/>
          <w:szCs w:val="32"/>
        </w:rPr>
        <w:tab/>
      </w:r>
    </w:p>
    <w:p>
      <w:pPr>
        <w:ind w:firstLine="640" w:firstLineChars="20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 xml:space="preserve">第四章  </w:t>
      </w:r>
      <w:r>
        <w:rPr>
          <w:rFonts w:hint="eastAsia" w:eastAsia="黑体"/>
          <w:sz w:val="32"/>
          <w:szCs w:val="32"/>
          <w:lang w:val="en-US" w:eastAsia="zh-CN"/>
        </w:rPr>
        <w:t>集聚</w:t>
      </w:r>
      <w:r>
        <w:rPr>
          <w:rFonts w:eastAsia="黑体"/>
          <w:sz w:val="32"/>
          <w:szCs w:val="32"/>
        </w:rPr>
        <w:t>区发展规划</w:t>
      </w:r>
    </w:p>
    <w:p>
      <w:pPr>
        <w:ind w:firstLine="643" w:firstLineChars="200"/>
        <w:rPr>
          <w:rFonts w:eastAsia="楷体_GB2312"/>
          <w:b/>
          <w:bCs/>
          <w:sz w:val="32"/>
          <w:szCs w:val="32"/>
        </w:rPr>
      </w:pPr>
      <w:r>
        <w:rPr>
          <w:rFonts w:eastAsia="楷体_GB2312"/>
          <w:b/>
          <w:bCs/>
          <w:sz w:val="32"/>
          <w:szCs w:val="32"/>
        </w:rPr>
        <w:t>一、指导思想和发展原则</w:t>
      </w:r>
    </w:p>
    <w:p>
      <w:pPr>
        <w:ind w:firstLine="643" w:firstLineChars="200"/>
        <w:rPr>
          <w:rFonts w:eastAsia="仿宋_GB2312"/>
          <w:b/>
          <w:bCs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（一）指导思想</w:t>
      </w:r>
    </w:p>
    <w:p>
      <w:pPr>
        <w:ind w:firstLine="643" w:firstLineChars="200"/>
        <w:rPr>
          <w:rFonts w:eastAsia="仿宋_GB2312"/>
          <w:b/>
          <w:bCs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（二）发展原则</w:t>
      </w:r>
    </w:p>
    <w:p>
      <w:pPr>
        <w:ind w:firstLine="643" w:firstLineChars="200"/>
        <w:rPr>
          <w:rFonts w:eastAsia="楷体_GB2312"/>
          <w:b/>
          <w:bCs/>
          <w:sz w:val="32"/>
          <w:szCs w:val="32"/>
        </w:rPr>
      </w:pPr>
      <w:r>
        <w:rPr>
          <w:rFonts w:eastAsia="楷体_GB2312"/>
          <w:b/>
          <w:bCs/>
          <w:sz w:val="32"/>
          <w:szCs w:val="32"/>
        </w:rPr>
        <w:t>二、发展目标</w:t>
      </w:r>
    </w:p>
    <w:p>
      <w:pPr>
        <w:ind w:firstLine="643" w:firstLineChars="200"/>
        <w:rPr>
          <w:rFonts w:eastAsia="仿宋_GB2312"/>
          <w:b/>
          <w:bCs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（一）总体目标</w:t>
      </w:r>
    </w:p>
    <w:p>
      <w:pPr>
        <w:ind w:firstLine="643" w:firstLineChars="200"/>
        <w:rPr>
          <w:rFonts w:eastAsia="仿宋_GB2312"/>
          <w:b/>
          <w:bCs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（二）</w:t>
      </w:r>
      <w:r>
        <w:rPr>
          <w:rFonts w:hint="eastAsia" w:eastAsia="仿宋_GB2312"/>
          <w:b/>
          <w:bCs/>
          <w:sz w:val="32"/>
          <w:szCs w:val="32"/>
          <w:lang w:val="en-US" w:eastAsia="zh-CN"/>
        </w:rPr>
        <w:t>建设期间及</w:t>
      </w:r>
      <w:r>
        <w:rPr>
          <w:rFonts w:eastAsia="仿宋_GB2312"/>
          <w:b/>
          <w:bCs/>
          <w:sz w:val="32"/>
          <w:szCs w:val="32"/>
        </w:rPr>
        <w:t>分</w:t>
      </w:r>
      <w:r>
        <w:rPr>
          <w:rFonts w:hint="eastAsia" w:eastAsia="仿宋_GB2312"/>
          <w:b/>
          <w:bCs/>
          <w:sz w:val="32"/>
          <w:szCs w:val="32"/>
          <w:lang w:val="en-US" w:eastAsia="zh-CN"/>
        </w:rPr>
        <w:t>阶段</w:t>
      </w:r>
      <w:r>
        <w:rPr>
          <w:rFonts w:eastAsia="仿宋_GB2312"/>
          <w:b/>
          <w:bCs/>
          <w:sz w:val="32"/>
          <w:szCs w:val="32"/>
        </w:rPr>
        <w:t>计划</w:t>
      </w:r>
    </w:p>
    <w:p>
      <w:pPr>
        <w:ind w:firstLine="643" w:firstLineChars="200"/>
        <w:rPr>
          <w:rFonts w:eastAsia="楷体_GB2312"/>
          <w:b/>
          <w:bCs/>
          <w:sz w:val="32"/>
          <w:szCs w:val="32"/>
        </w:rPr>
      </w:pPr>
      <w:r>
        <w:rPr>
          <w:rFonts w:eastAsia="楷体_GB2312"/>
          <w:b/>
          <w:bCs/>
          <w:sz w:val="32"/>
          <w:szCs w:val="32"/>
        </w:rPr>
        <w:t>三、规划区域及面积</w:t>
      </w:r>
      <w:r>
        <w:rPr>
          <w:rFonts w:eastAsia="楷体_GB2312"/>
          <w:b/>
          <w:bCs/>
          <w:sz w:val="32"/>
          <w:szCs w:val="32"/>
        </w:rPr>
        <w:tab/>
      </w:r>
    </w:p>
    <w:p>
      <w:pPr>
        <w:ind w:firstLine="643" w:firstLineChars="200"/>
        <w:rPr>
          <w:rFonts w:eastAsia="楷体_GB2312"/>
          <w:b/>
          <w:bCs/>
          <w:sz w:val="32"/>
          <w:szCs w:val="32"/>
        </w:rPr>
      </w:pPr>
      <w:r>
        <w:rPr>
          <w:rFonts w:eastAsia="楷体_GB2312"/>
          <w:b/>
          <w:bCs/>
          <w:sz w:val="32"/>
          <w:szCs w:val="32"/>
        </w:rPr>
        <w:t>四、发展定位及业态发展方向</w:t>
      </w:r>
    </w:p>
    <w:p>
      <w:pPr>
        <w:ind w:firstLine="643" w:firstLineChars="200"/>
        <w:rPr>
          <w:rFonts w:eastAsia="仿宋_GB2312"/>
          <w:b/>
          <w:bCs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（一）发展定位</w:t>
      </w:r>
    </w:p>
    <w:p>
      <w:pPr>
        <w:ind w:firstLine="643" w:firstLineChars="200"/>
        <w:rPr>
          <w:rFonts w:eastAsia="仿宋_GB2312"/>
          <w:b/>
          <w:bCs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（二）发展方向</w:t>
      </w:r>
    </w:p>
    <w:p>
      <w:pPr>
        <w:ind w:firstLine="643" w:firstLineChars="200"/>
        <w:rPr>
          <w:rFonts w:eastAsia="仿宋_GB2312"/>
          <w:b/>
          <w:bCs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（三）发展思路</w:t>
      </w:r>
    </w:p>
    <w:p>
      <w:pPr>
        <w:ind w:firstLine="643" w:firstLineChars="200"/>
        <w:rPr>
          <w:rFonts w:eastAsia="楷体_GB2312"/>
          <w:b/>
          <w:bCs/>
          <w:sz w:val="32"/>
          <w:szCs w:val="32"/>
        </w:rPr>
      </w:pPr>
      <w:r>
        <w:rPr>
          <w:rFonts w:eastAsia="楷体_GB2312"/>
          <w:b/>
          <w:bCs/>
          <w:sz w:val="32"/>
          <w:szCs w:val="32"/>
        </w:rPr>
        <w:t>五、功能布局</w:t>
      </w:r>
    </w:p>
    <w:p>
      <w:pPr>
        <w:ind w:firstLine="643" w:firstLineChars="200"/>
        <w:rPr>
          <w:rFonts w:eastAsia="仿宋_GB2312"/>
          <w:b/>
          <w:bCs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（一）******区</w:t>
      </w:r>
      <w:r>
        <w:rPr>
          <w:rFonts w:eastAsia="仿宋_GB2312"/>
          <w:b/>
          <w:bCs/>
          <w:sz w:val="32"/>
          <w:szCs w:val="32"/>
        </w:rPr>
        <w:tab/>
      </w:r>
    </w:p>
    <w:p>
      <w:pPr>
        <w:ind w:firstLine="643" w:firstLineChars="200"/>
        <w:rPr>
          <w:rFonts w:eastAsia="仿宋_GB2312"/>
          <w:b/>
          <w:bCs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（二）******区</w:t>
      </w:r>
      <w:r>
        <w:rPr>
          <w:rFonts w:eastAsia="仿宋_GB2312"/>
          <w:b/>
          <w:bCs/>
          <w:sz w:val="32"/>
          <w:szCs w:val="32"/>
        </w:rPr>
        <w:tab/>
      </w:r>
    </w:p>
    <w:p>
      <w:pPr>
        <w:ind w:firstLine="643" w:firstLineChars="200"/>
        <w:rPr>
          <w:rFonts w:eastAsia="仿宋_GB2312"/>
          <w:b/>
          <w:bCs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（三）******区</w:t>
      </w:r>
      <w:r>
        <w:rPr>
          <w:rFonts w:eastAsia="仿宋_GB2312"/>
          <w:b/>
          <w:bCs/>
          <w:sz w:val="32"/>
          <w:szCs w:val="32"/>
        </w:rPr>
        <w:tab/>
      </w:r>
    </w:p>
    <w:p>
      <w:pPr>
        <w:ind w:firstLine="643" w:firstLineChars="200"/>
        <w:rPr>
          <w:rFonts w:eastAsia="仿宋_GB2312"/>
          <w:b/>
          <w:bCs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……</w:t>
      </w:r>
    </w:p>
    <w:p>
      <w:pPr>
        <w:ind w:firstLine="643" w:firstLineChars="200"/>
        <w:rPr>
          <w:rFonts w:eastAsia="楷体_GB2312"/>
          <w:b/>
          <w:bCs/>
          <w:sz w:val="32"/>
          <w:szCs w:val="32"/>
        </w:rPr>
      </w:pPr>
      <w:r>
        <w:rPr>
          <w:rFonts w:eastAsia="楷体_GB2312"/>
          <w:b/>
          <w:bCs/>
          <w:sz w:val="32"/>
          <w:szCs w:val="32"/>
        </w:rPr>
        <w:t>六、招商引资情况</w:t>
      </w:r>
    </w:p>
    <w:p>
      <w:pPr>
        <w:ind w:firstLine="643" w:firstLineChars="200"/>
        <w:rPr>
          <w:rFonts w:eastAsia="仿宋_GB2312"/>
          <w:b/>
          <w:bCs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（一）招商引资总体情况</w:t>
      </w:r>
    </w:p>
    <w:p>
      <w:pPr>
        <w:ind w:firstLine="643" w:firstLineChars="200"/>
        <w:rPr>
          <w:rFonts w:eastAsia="仿宋_GB2312"/>
          <w:b/>
          <w:bCs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（二）招商引资典型案例</w:t>
      </w:r>
    </w:p>
    <w:p>
      <w:pPr>
        <w:ind w:firstLine="643" w:firstLineChars="200"/>
        <w:rPr>
          <w:rFonts w:eastAsia="仿宋_GB2312"/>
          <w:b/>
          <w:bCs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（三）招商引资思路</w:t>
      </w:r>
    </w:p>
    <w:p>
      <w:pPr>
        <w:ind w:firstLine="643" w:firstLineChars="200"/>
        <w:rPr>
          <w:rFonts w:eastAsia="楷体_GB2312"/>
          <w:b/>
          <w:bCs/>
          <w:sz w:val="32"/>
          <w:szCs w:val="32"/>
        </w:rPr>
      </w:pPr>
      <w:r>
        <w:rPr>
          <w:rFonts w:eastAsia="楷体_GB2312"/>
          <w:b/>
          <w:bCs/>
          <w:sz w:val="32"/>
          <w:szCs w:val="32"/>
        </w:rPr>
        <w:t>七、在建和谋划的重大项目情况</w:t>
      </w:r>
    </w:p>
    <w:p>
      <w:pPr>
        <w:ind w:firstLine="643" w:firstLineChars="200"/>
        <w:rPr>
          <w:rFonts w:eastAsia="仿宋_GB2312"/>
          <w:b/>
          <w:bCs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（一）******（在建）</w:t>
      </w:r>
    </w:p>
    <w:p>
      <w:pPr>
        <w:ind w:firstLine="643" w:firstLineChars="200"/>
        <w:rPr>
          <w:rFonts w:eastAsia="仿宋_GB2312"/>
          <w:b/>
          <w:bCs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（二）******（谋划）</w:t>
      </w:r>
    </w:p>
    <w:p>
      <w:pPr>
        <w:ind w:firstLine="643" w:firstLineChars="200"/>
        <w:rPr>
          <w:rFonts w:eastAsia="仿宋_GB2312"/>
          <w:b/>
          <w:bCs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（三）……</w:t>
      </w:r>
    </w:p>
    <w:p>
      <w:pPr>
        <w:ind w:firstLine="643" w:firstLineChars="200"/>
        <w:rPr>
          <w:rFonts w:eastAsia="仿宋_GB2312"/>
          <w:b/>
          <w:bCs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（四）……</w:t>
      </w:r>
    </w:p>
    <w:p>
      <w:pPr>
        <w:ind w:firstLine="643" w:firstLineChars="200"/>
        <w:rPr>
          <w:rFonts w:eastAsia="楷体_GB2312"/>
          <w:b/>
          <w:bCs/>
          <w:sz w:val="32"/>
          <w:szCs w:val="32"/>
        </w:rPr>
      </w:pPr>
      <w:r>
        <w:rPr>
          <w:rFonts w:eastAsia="楷体_GB2312"/>
          <w:b/>
          <w:bCs/>
          <w:sz w:val="32"/>
          <w:szCs w:val="32"/>
        </w:rPr>
        <w:t>八、保障措施（不限于子目录内容）</w:t>
      </w:r>
    </w:p>
    <w:p>
      <w:pPr>
        <w:ind w:firstLine="643" w:firstLineChars="200"/>
        <w:rPr>
          <w:rFonts w:eastAsia="仿宋_GB2312"/>
          <w:b/>
          <w:bCs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（一）运行管理</w:t>
      </w:r>
    </w:p>
    <w:p>
      <w:pPr>
        <w:ind w:firstLine="643" w:firstLineChars="200"/>
        <w:rPr>
          <w:rFonts w:eastAsia="仿宋_GB2312"/>
          <w:b/>
          <w:bCs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（二）重点企业扶持</w:t>
      </w:r>
    </w:p>
    <w:p>
      <w:pPr>
        <w:ind w:firstLine="643" w:firstLineChars="200"/>
        <w:rPr>
          <w:rFonts w:eastAsia="仿宋_GB2312"/>
          <w:b/>
          <w:bCs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（三）政策支持</w:t>
      </w:r>
    </w:p>
    <w:p>
      <w:pPr>
        <w:ind w:firstLine="643" w:firstLineChars="200"/>
        <w:rPr>
          <w:rFonts w:eastAsia="仿宋_GB2312"/>
          <w:b/>
          <w:bCs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（四）体制机制</w:t>
      </w:r>
    </w:p>
    <w:p>
      <w:pPr>
        <w:ind w:firstLine="643" w:firstLineChars="200"/>
        <w:rPr>
          <w:rFonts w:eastAsia="仿宋_GB2312"/>
          <w:b/>
          <w:bCs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（五）人才建设</w:t>
      </w:r>
    </w:p>
    <w:p>
      <w:pPr>
        <w:ind w:firstLine="643" w:firstLineChars="200"/>
        <w:rPr>
          <w:rFonts w:eastAsia="仿宋_GB2312"/>
          <w:b/>
          <w:bCs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（六）招商引资</w:t>
      </w:r>
    </w:p>
    <w:p>
      <w:pPr>
        <w:ind w:firstLine="643" w:firstLineChars="200"/>
        <w:rPr>
          <w:rFonts w:eastAsia="仿宋_GB2312"/>
          <w:b/>
          <w:bCs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（七）融资渠道</w:t>
      </w:r>
    </w:p>
    <w:p>
      <w:pPr>
        <w:ind w:firstLine="643" w:firstLineChars="200"/>
        <w:rPr>
          <w:rFonts w:eastAsia="仿宋_GB2312"/>
          <w:b/>
          <w:bCs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……</w:t>
      </w:r>
    </w:p>
    <w:p>
      <w:pPr>
        <w:ind w:firstLine="640" w:firstLineChars="20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第五章  申报省级服务业集聚区的优势和条件</w:t>
      </w:r>
    </w:p>
    <w:p>
      <w:pPr>
        <w:ind w:firstLine="643" w:firstLineChars="200"/>
        <w:rPr>
          <w:rFonts w:eastAsia="楷体_GB2312"/>
          <w:b/>
          <w:bCs/>
          <w:sz w:val="32"/>
          <w:szCs w:val="32"/>
        </w:rPr>
      </w:pPr>
      <w:r>
        <w:rPr>
          <w:rFonts w:eastAsia="楷体_GB2312"/>
          <w:b/>
          <w:bCs/>
          <w:sz w:val="32"/>
          <w:szCs w:val="32"/>
        </w:rPr>
        <w:t>一、实施背景及必要性</w:t>
      </w:r>
    </w:p>
    <w:p>
      <w:pPr>
        <w:ind w:firstLine="643" w:firstLineChars="200"/>
        <w:rPr>
          <w:rFonts w:eastAsia="仿宋_GB2312"/>
          <w:b/>
          <w:bCs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（一）实施背景</w:t>
      </w:r>
    </w:p>
    <w:p>
      <w:pPr>
        <w:ind w:firstLine="643" w:firstLineChars="200"/>
        <w:rPr>
          <w:rFonts w:eastAsia="仿宋_GB2312"/>
          <w:b/>
          <w:bCs/>
          <w:sz w:val="32"/>
          <w:szCs w:val="32"/>
        </w:rPr>
      </w:pPr>
      <w:bookmarkStart w:id="48" w:name="_GoBack"/>
      <w:bookmarkEnd w:id="48"/>
      <w:r>
        <w:rPr>
          <w:rFonts w:eastAsia="仿宋_GB2312"/>
          <w:b/>
          <w:bCs/>
          <w:sz w:val="32"/>
          <w:szCs w:val="32"/>
        </w:rPr>
        <w:t>（二）必要性</w:t>
      </w:r>
    </w:p>
    <w:p>
      <w:pPr>
        <w:ind w:firstLine="643" w:firstLineChars="200"/>
        <w:rPr>
          <w:rFonts w:eastAsia="楷体_GB2312"/>
          <w:b/>
          <w:bCs/>
          <w:sz w:val="32"/>
          <w:szCs w:val="32"/>
        </w:rPr>
      </w:pPr>
      <w:r>
        <w:rPr>
          <w:rFonts w:eastAsia="楷体_GB2312"/>
          <w:b/>
          <w:bCs/>
          <w:sz w:val="32"/>
          <w:szCs w:val="32"/>
        </w:rPr>
        <w:t>二、申报优势及条件（不限于子目录内容）</w:t>
      </w:r>
    </w:p>
    <w:p>
      <w:pPr>
        <w:ind w:firstLine="643" w:firstLineChars="200"/>
        <w:rPr>
          <w:rFonts w:eastAsia="仿宋_GB2312"/>
          <w:b/>
          <w:bCs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（一）特色优势</w:t>
      </w:r>
    </w:p>
    <w:p>
      <w:pPr>
        <w:ind w:firstLine="643" w:firstLineChars="200"/>
        <w:rPr>
          <w:rFonts w:eastAsia="仿宋_GB2312"/>
          <w:b/>
          <w:bCs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（二）交通区位优势</w:t>
      </w:r>
      <w:r>
        <w:rPr>
          <w:rFonts w:eastAsia="仿宋_GB2312"/>
          <w:b/>
          <w:bCs/>
          <w:sz w:val="32"/>
          <w:szCs w:val="32"/>
        </w:rPr>
        <w:tab/>
      </w:r>
    </w:p>
    <w:p>
      <w:pPr>
        <w:ind w:firstLine="643" w:firstLineChars="200"/>
        <w:rPr>
          <w:rFonts w:eastAsia="仿宋_GB2312"/>
          <w:b/>
          <w:bCs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（三）运营管理优势</w:t>
      </w:r>
      <w:r>
        <w:rPr>
          <w:rFonts w:eastAsia="仿宋_GB2312"/>
          <w:b/>
          <w:bCs/>
          <w:sz w:val="32"/>
          <w:szCs w:val="32"/>
        </w:rPr>
        <w:tab/>
      </w:r>
    </w:p>
    <w:p>
      <w:pPr>
        <w:ind w:left="630" w:leftChars="300"/>
        <w:rPr>
          <w:rFonts w:eastAsia="仿宋_GB2312"/>
          <w:b/>
          <w:bCs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（四）产业集聚优势</w:t>
      </w:r>
      <w:r>
        <w:rPr>
          <w:rFonts w:eastAsia="仿宋_GB2312"/>
          <w:b/>
          <w:bCs/>
          <w:sz w:val="32"/>
          <w:szCs w:val="32"/>
        </w:rPr>
        <w:br/>
      </w:r>
      <w:r>
        <w:rPr>
          <w:rFonts w:eastAsia="仿宋_GB2312"/>
          <w:b/>
          <w:bCs/>
          <w:sz w:val="32"/>
          <w:szCs w:val="32"/>
        </w:rPr>
        <w:t>（五）创新发展优势</w:t>
      </w:r>
    </w:p>
    <w:p>
      <w:pPr>
        <w:ind w:firstLine="643" w:firstLineChars="200"/>
        <w:rPr>
          <w:rFonts w:eastAsia="仿宋_GB2312"/>
          <w:b/>
          <w:bCs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……</w:t>
      </w:r>
    </w:p>
    <w:p>
      <w:pPr>
        <w:rPr>
          <w:rFonts w:eastAsia="黑体"/>
          <w:sz w:val="32"/>
          <w:szCs w:val="32"/>
        </w:rPr>
      </w:pPr>
    </w:p>
    <w:p>
      <w:pPr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附件：</w:t>
      </w:r>
    </w:p>
    <w:p>
      <w:pPr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一、设立集聚区管理机构的政府批件及管理机构情况</w:t>
      </w:r>
    </w:p>
    <w:p>
      <w:pPr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三、土地批复文件或租赁合同</w:t>
      </w:r>
    </w:p>
    <w:p>
      <w:pPr>
        <w:rPr>
          <w:rFonts w:hint="eastAsia" w:eastAsia="黑体"/>
          <w:sz w:val="32"/>
          <w:szCs w:val="32"/>
          <w:lang w:val="en-US" w:eastAsia="zh-CN"/>
        </w:rPr>
      </w:pPr>
      <w:r>
        <w:rPr>
          <w:rFonts w:eastAsia="黑体"/>
          <w:sz w:val="32"/>
          <w:szCs w:val="32"/>
        </w:rPr>
        <w:t>四、入驻企业名录及</w:t>
      </w:r>
      <w:r>
        <w:rPr>
          <w:rFonts w:hint="eastAsia" w:eastAsia="黑体"/>
          <w:sz w:val="32"/>
          <w:szCs w:val="32"/>
          <w:lang w:val="en-US" w:eastAsia="zh-CN"/>
        </w:rPr>
        <w:t>企业营业执照、入统企业财务报表</w:t>
      </w:r>
    </w:p>
    <w:p>
      <w:pPr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五、基础设施及公共服务平台体系建设情况</w:t>
      </w:r>
    </w:p>
    <w:p>
      <w:pPr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六、</w:t>
      </w:r>
      <w:r>
        <w:rPr>
          <w:rFonts w:hint="eastAsia" w:eastAsia="黑体"/>
          <w:sz w:val="32"/>
          <w:szCs w:val="32"/>
          <w:lang w:val="en-US" w:eastAsia="zh-CN"/>
        </w:rPr>
        <w:t>申报单位</w:t>
      </w:r>
      <w:r>
        <w:rPr>
          <w:rFonts w:eastAsia="黑体"/>
          <w:sz w:val="32"/>
          <w:szCs w:val="32"/>
        </w:rPr>
        <w:t>真实性承诺</w:t>
      </w:r>
    </w:p>
    <w:p>
      <w:pPr>
        <w:rPr>
          <w:rFonts w:hint="eastAsia" w:eastAsia="黑体"/>
          <w:sz w:val="32"/>
          <w:szCs w:val="32"/>
          <w:lang w:val="en-US" w:eastAsia="zh-CN"/>
        </w:rPr>
      </w:pPr>
      <w:r>
        <w:rPr>
          <w:rFonts w:eastAsia="黑体"/>
          <w:sz w:val="32"/>
          <w:szCs w:val="32"/>
        </w:rPr>
        <w:t>七、</w:t>
      </w:r>
      <w:r>
        <w:rPr>
          <w:rFonts w:hint="eastAsia" w:eastAsia="黑体"/>
          <w:sz w:val="32"/>
          <w:szCs w:val="32"/>
          <w:lang w:val="en-US" w:eastAsia="zh-CN"/>
        </w:rPr>
        <w:t>申报单位通过“信用山西”下载信用报告</w:t>
      </w:r>
    </w:p>
    <w:p>
      <w:pPr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  <w:lang w:val="en-US" w:eastAsia="zh-CN"/>
        </w:rPr>
        <w:t>八、</w:t>
      </w:r>
      <w:r>
        <w:rPr>
          <w:rFonts w:eastAsia="黑体"/>
          <w:sz w:val="32"/>
          <w:szCs w:val="32"/>
        </w:rPr>
        <w:t>其他材料</w:t>
      </w:r>
    </w:p>
    <w:sectPr>
      <w:footerReference r:id="rId4" w:type="default"/>
      <w:footerReference r:id="rId5" w:type="even"/>
      <w:pgSz w:w="11906" w:h="16838"/>
      <w:pgMar w:top="1440" w:right="1797" w:bottom="1440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1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  <w:ind w:right="420"/>
      <w:jc w:val="right"/>
      <w:rPr>
        <w:sz w:val="28"/>
        <w:szCs w:val="28"/>
      </w:rPr>
    </w:pPr>
    <w:r>
      <w:rPr>
        <w:rFonts w:hint="eastAsia"/>
        <w:kern w:val="0"/>
        <w:sz w:val="28"/>
        <w:szCs w:val="28"/>
      </w:rPr>
      <w:t>—</w:t>
    </w:r>
    <w:r>
      <w:rPr>
        <w:kern w:val="0"/>
        <w:sz w:val="28"/>
        <w:szCs w:val="28"/>
      </w:rPr>
      <w:fldChar w:fldCharType="begin"/>
    </w:r>
    <w:r>
      <w:rPr>
        <w:kern w:val="0"/>
        <w:sz w:val="28"/>
        <w:szCs w:val="28"/>
      </w:rPr>
      <w:instrText xml:space="preserve"> PAGE </w:instrText>
    </w:r>
    <w:r>
      <w:rPr>
        <w:kern w:val="0"/>
        <w:sz w:val="28"/>
        <w:szCs w:val="28"/>
      </w:rPr>
      <w:fldChar w:fldCharType="separate"/>
    </w:r>
    <w:r>
      <w:rPr>
        <w:kern w:val="0"/>
        <w:sz w:val="28"/>
        <w:szCs w:val="28"/>
      </w:rPr>
      <w:t>3</w:t>
    </w:r>
    <w:r>
      <w:rPr>
        <w:kern w:val="0"/>
        <w:sz w:val="28"/>
        <w:szCs w:val="28"/>
      </w:rPr>
      <w:fldChar w:fldCharType="end"/>
    </w:r>
    <w:r>
      <w:rPr>
        <w:rFonts w:hint="eastAsia"/>
        <w:kern w:val="0"/>
        <w:sz w:val="28"/>
        <w:szCs w:val="28"/>
      </w:rPr>
      <w:t>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  <w:ind w:firstLine="280" w:firstLineChars="100"/>
      <w:rPr>
        <w:sz w:val="28"/>
        <w:szCs w:val="28"/>
      </w:rPr>
    </w:pPr>
    <w:r>
      <w:rPr>
        <w:rFonts w:hint="eastAsia"/>
        <w:kern w:val="0"/>
        <w:sz w:val="28"/>
        <w:szCs w:val="28"/>
      </w:rPr>
      <w:t>—</w:t>
    </w:r>
    <w:r>
      <w:rPr>
        <w:kern w:val="0"/>
        <w:sz w:val="28"/>
        <w:szCs w:val="28"/>
      </w:rPr>
      <w:fldChar w:fldCharType="begin"/>
    </w:r>
    <w:r>
      <w:rPr>
        <w:kern w:val="0"/>
        <w:sz w:val="28"/>
        <w:szCs w:val="28"/>
      </w:rPr>
      <w:instrText xml:space="preserve"> PAGE </w:instrText>
    </w:r>
    <w:r>
      <w:rPr>
        <w:kern w:val="0"/>
        <w:sz w:val="28"/>
        <w:szCs w:val="28"/>
      </w:rPr>
      <w:fldChar w:fldCharType="separate"/>
    </w:r>
    <w:r>
      <w:rPr>
        <w:kern w:val="0"/>
        <w:sz w:val="28"/>
        <w:szCs w:val="28"/>
      </w:rPr>
      <w:t>2</w:t>
    </w:r>
    <w:r>
      <w:rPr>
        <w:kern w:val="0"/>
        <w:sz w:val="28"/>
        <w:szCs w:val="28"/>
      </w:rPr>
      <w:fldChar w:fldCharType="end"/>
    </w:r>
    <w:r>
      <w:rPr>
        <w:rFonts w:hint="eastAsia"/>
        <w:kern w:val="0"/>
        <w:sz w:val="28"/>
        <w:szCs w:val="28"/>
      </w:rPr>
      <w:t>—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attachedTemplate r:id="rId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CD231D"/>
    <w:rsid w:val="00023B6A"/>
    <w:rsid w:val="000B4A7B"/>
    <w:rsid w:val="0010106B"/>
    <w:rsid w:val="00105AE1"/>
    <w:rsid w:val="00123CC4"/>
    <w:rsid w:val="001546AD"/>
    <w:rsid w:val="0018564B"/>
    <w:rsid w:val="001D7B22"/>
    <w:rsid w:val="001E174F"/>
    <w:rsid w:val="001E4500"/>
    <w:rsid w:val="00265577"/>
    <w:rsid w:val="00297993"/>
    <w:rsid w:val="002B10A7"/>
    <w:rsid w:val="002C75F9"/>
    <w:rsid w:val="002D19C2"/>
    <w:rsid w:val="002F68D1"/>
    <w:rsid w:val="0031361D"/>
    <w:rsid w:val="0032279A"/>
    <w:rsid w:val="003448E2"/>
    <w:rsid w:val="00350DA4"/>
    <w:rsid w:val="00364589"/>
    <w:rsid w:val="0037447A"/>
    <w:rsid w:val="003909B6"/>
    <w:rsid w:val="003B24CC"/>
    <w:rsid w:val="003B33A1"/>
    <w:rsid w:val="003B47B9"/>
    <w:rsid w:val="003D23E0"/>
    <w:rsid w:val="003E1D71"/>
    <w:rsid w:val="00407A13"/>
    <w:rsid w:val="00432AAB"/>
    <w:rsid w:val="00477D81"/>
    <w:rsid w:val="00505779"/>
    <w:rsid w:val="0052146E"/>
    <w:rsid w:val="00541103"/>
    <w:rsid w:val="005863D9"/>
    <w:rsid w:val="00616492"/>
    <w:rsid w:val="00636A99"/>
    <w:rsid w:val="006904F5"/>
    <w:rsid w:val="006E3BB7"/>
    <w:rsid w:val="007051E6"/>
    <w:rsid w:val="0070597F"/>
    <w:rsid w:val="00716F94"/>
    <w:rsid w:val="0074530E"/>
    <w:rsid w:val="00753F56"/>
    <w:rsid w:val="007934EC"/>
    <w:rsid w:val="007B41F8"/>
    <w:rsid w:val="007C6221"/>
    <w:rsid w:val="007C6E7A"/>
    <w:rsid w:val="00834534"/>
    <w:rsid w:val="008B65FB"/>
    <w:rsid w:val="008C0604"/>
    <w:rsid w:val="008C5B9C"/>
    <w:rsid w:val="00905A6F"/>
    <w:rsid w:val="009164C6"/>
    <w:rsid w:val="009403F3"/>
    <w:rsid w:val="00963891"/>
    <w:rsid w:val="009676AA"/>
    <w:rsid w:val="0097116A"/>
    <w:rsid w:val="00993464"/>
    <w:rsid w:val="00994799"/>
    <w:rsid w:val="009D1906"/>
    <w:rsid w:val="009D1DEA"/>
    <w:rsid w:val="009E0E47"/>
    <w:rsid w:val="009E25CA"/>
    <w:rsid w:val="00A6744D"/>
    <w:rsid w:val="00A81DA1"/>
    <w:rsid w:val="00A82406"/>
    <w:rsid w:val="00A877E2"/>
    <w:rsid w:val="00B014FC"/>
    <w:rsid w:val="00B340C7"/>
    <w:rsid w:val="00B34F53"/>
    <w:rsid w:val="00BE5BD9"/>
    <w:rsid w:val="00BE6876"/>
    <w:rsid w:val="00C11AD1"/>
    <w:rsid w:val="00C21630"/>
    <w:rsid w:val="00C233A8"/>
    <w:rsid w:val="00C47CF9"/>
    <w:rsid w:val="00C91133"/>
    <w:rsid w:val="00CD231D"/>
    <w:rsid w:val="00D05C28"/>
    <w:rsid w:val="00D1181E"/>
    <w:rsid w:val="00D538DE"/>
    <w:rsid w:val="00D67D53"/>
    <w:rsid w:val="00DC6D2E"/>
    <w:rsid w:val="00E02419"/>
    <w:rsid w:val="00E054FF"/>
    <w:rsid w:val="00E26F2D"/>
    <w:rsid w:val="00E65DE2"/>
    <w:rsid w:val="00F150EB"/>
    <w:rsid w:val="00F57151"/>
    <w:rsid w:val="00F70369"/>
    <w:rsid w:val="00F73AAF"/>
    <w:rsid w:val="00F74697"/>
    <w:rsid w:val="00F758C3"/>
    <w:rsid w:val="00F80727"/>
    <w:rsid w:val="00FF6894"/>
    <w:rsid w:val="012C0607"/>
    <w:rsid w:val="11786082"/>
    <w:rsid w:val="158A1533"/>
    <w:rsid w:val="17824A16"/>
    <w:rsid w:val="18396DDA"/>
    <w:rsid w:val="1E666FAC"/>
    <w:rsid w:val="24123E5F"/>
    <w:rsid w:val="28D27231"/>
    <w:rsid w:val="2C537221"/>
    <w:rsid w:val="308E0201"/>
    <w:rsid w:val="317C3795"/>
    <w:rsid w:val="34843AE0"/>
    <w:rsid w:val="60635627"/>
    <w:rsid w:val="616101FD"/>
    <w:rsid w:val="679B6680"/>
    <w:rsid w:val="6C324065"/>
    <w:rsid w:val="73593C2D"/>
    <w:rsid w:val="760B0723"/>
    <w:rsid w:val="76D72F06"/>
    <w:rsid w:val="772913C3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uiPriority w:val="99"/>
    <w:tblPr>
      <w:tblStyle w:val="6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uiPriority w:val="0"/>
    <w:pPr>
      <w:spacing w:before="100" w:beforeAutospacing="1" w:after="100" w:afterAutospacing="1"/>
      <w:ind w:left="0" w:right="0"/>
      <w:jc w:val="left"/>
    </w:pPr>
    <w:rPr>
      <w:rFonts w:ascii="Times New Roman" w:hAnsi="Times New Roman" w:eastAsia="宋体" w:cs="Times New Roman"/>
      <w:kern w:val="0"/>
      <w:sz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2020&#24180;\2020&#24180;&#27169;&#26495;\&#24179;&#34892;&#25991;&#65288;2020&#24180;&#65289;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平行文（2020年）.dotx</Template>
  <Company>微软中国</Company>
  <Pages>11</Pages>
  <Words>417</Words>
  <Characters>2379</Characters>
  <Lines>19</Lines>
  <Paragraphs>5</Paragraphs>
  <ScaleCrop>false</ScaleCrop>
  <LinksUpToDate>false</LinksUpToDate>
  <CharactersWithSpaces>0</CharactersWithSpaces>
  <Application>WPS Office 专业版_9.1.0.4798_{F1E327BC-269C-435d-A152-05C5408002CA}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2020-09-09T00:41:00Z</dcterms:created>
  <dc:creator>胡昱阳</dc:creator>
  <cp:lastModifiedBy>瓮亚娟</cp:lastModifiedBy>
  <cp:lastPrinted>2021-11-08T09:36:22Z</cp:lastPrinted>
  <dcterms:modified xsi:type="dcterms:W3CDTF">2021-11-08T09:36:28Z</dcterms:modified>
  <dc:title>发改　〔2011〕　号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2052-9.1.0.4798</vt:lpwstr>
  </property>
</Properties>
</file>