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579" w:lineRule="exact"/>
        <w:jc w:val="center"/>
        <w:rPr>
          <w:rFonts w:hint="eastAsia" w:ascii="方正小标宋简体" w:hAnsi="方正小标宋简体" w:eastAsia="方正小标宋简体" w:cs="方正小标宋简体"/>
          <w:b w:val="0"/>
          <w:bCs w:val="0"/>
          <w:sz w:val="44"/>
          <w:szCs w:val="44"/>
          <w:lang w:val="en-US" w:eastAsia="zh-CN"/>
        </w:rPr>
      </w:pPr>
      <w:bookmarkStart w:id="1" w:name="_GoBack"/>
      <w:bookmarkEnd w:id="1"/>
      <w:r>
        <w:rPr>
          <w:rFonts w:hint="eastAsia" w:ascii="方正小标宋简体" w:hAnsi="方正小标宋简体" w:eastAsia="方正小标宋简体" w:cs="方正小标宋简体"/>
          <w:b w:val="0"/>
          <w:bCs w:val="0"/>
          <w:sz w:val="44"/>
          <w:szCs w:val="44"/>
          <w:lang w:val="en-US" w:eastAsia="zh-CN"/>
        </w:rPr>
        <w:t>2022-2023年度中医药科技创新工程</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jc w:val="center"/>
        <w:textAlignment w:val="auto"/>
        <w:rPr>
          <w:rFonts w:hint="eastAsia" w:ascii="方正小标宋简体" w:hAnsi="方正小标宋简体" w:eastAsia="方正小标宋简体" w:cs="方正小标宋简体"/>
          <w:b/>
          <w:bCs/>
          <w:sz w:val="32"/>
          <w:lang w:val="en-US" w:eastAsia="zh-CN"/>
        </w:rPr>
      </w:pPr>
      <w:r>
        <w:rPr>
          <w:rFonts w:hint="eastAsia" w:ascii="方正小标宋简体" w:hAnsi="方正小标宋简体" w:eastAsia="方正小标宋简体" w:cs="方正小标宋简体"/>
          <w:b w:val="0"/>
          <w:bCs w:val="0"/>
          <w:sz w:val="44"/>
          <w:szCs w:val="44"/>
          <w:lang w:val="en-US" w:eastAsia="zh-CN"/>
        </w:rPr>
        <w:t>申请项目信息</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default" w:ascii="仿宋_GB2312" w:eastAsia="仿宋_GB2312"/>
          <w:sz w:val="32"/>
          <w:lang w:val="en-US" w:eastAsia="zh-CN"/>
        </w:rPr>
      </w:pPr>
      <w:r>
        <w:rPr>
          <w:rFonts w:hint="eastAsia" w:ascii="仿宋_GB2312" w:eastAsia="仿宋_GB2312"/>
          <w:b/>
          <w:bCs/>
          <w:sz w:val="32"/>
          <w:lang w:val="en-US" w:eastAsia="zh-CN"/>
        </w:rPr>
        <w:t>1、项目名称：</w:t>
      </w:r>
      <w:r>
        <w:rPr>
          <w:rFonts w:hint="eastAsia" w:ascii="仿宋_GB2312" w:eastAsia="仿宋_GB2312" w:cs="Times New Roman"/>
          <w:sz w:val="32"/>
          <w:lang w:val="en-US" w:eastAsia="zh-CN"/>
        </w:rPr>
        <w:t>基于国医大师验方治疗化疗后静脉炎的中药新药临床前研究</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开展处方药味及药材资源评估、制备工艺研究、质量标准研究、稳定性等药学研究；建立证候模型评价药效、安全性，其中安全性评价在GLP认证机构开展药理毒理研究；总结研究资料，形成申报材料，按1.1类中药创新药提出注册申请。</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形成化疗后静脉炎中医诊疗专家共识并推广应用，完成新药临床前研究全部内容，达到中试规模。建立1套制备工艺流程图；完成不少于3批次的中试研究，形成1份主要生产设备清单；制定1份药品质量标准草案，其中鉴别项数量不少于处方药味数量的1/3，完成至少1批样品的自检报告；完成6个月的加速稳定性研究和不少于12个月的长期稳定性研究，形成1份稳定性研究数据及图谱；完成单次给药毒性、重复给药毒性试验，明确药物的LD50或最大给药量；完成中药新药申报资料1套。</w:t>
      </w: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sz w:val="32"/>
          <w:lang w:val="en-US" w:eastAsia="zh-CN"/>
        </w:rPr>
      </w:pPr>
      <w:r>
        <w:rPr>
          <w:rFonts w:hint="eastAsia" w:ascii="仿宋_GB2312" w:eastAsia="仿宋_GB2312"/>
          <w:b/>
          <w:bCs/>
          <w:sz w:val="32"/>
          <w:lang w:val="en-US" w:eastAsia="zh-CN"/>
        </w:rPr>
        <w:t>2、项目名称：</w:t>
      </w:r>
      <w:bookmarkStart w:id="0" w:name="_Hlk93769891"/>
      <w:r>
        <w:rPr>
          <w:rFonts w:hint="eastAsia" w:ascii="仿宋_GB2312" w:eastAsia="仿宋_GB2312" w:cs="Times New Roman"/>
          <w:sz w:val="32"/>
          <w:lang w:val="en-US" w:eastAsia="zh-CN"/>
        </w:rPr>
        <w:t>治疗带状疱疹的中药创新药外用制剂的临床前研究</w:t>
      </w:r>
      <w:bookmarkEnd w:id="0"/>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cs="Times New Roman"/>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药学研究包括建立成药质量标准草案、处方药材资源评估及提取工艺研究、剂辅料及制剂处方工艺研究、成药稳定性研究等；药效学研究，观测药理作用探讨作用机理；安全性评价研究，按《药品注册管理办法》要求在GLP条件下开展非临床安全性评价研究，包括急性毒性试验、重复给药毒性试验、特殊毒性（刺激）、特殊毒性（主动过敏）。</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pStyle w:val="4"/>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完成治疗带状疱疹病毒的1.1类中药外用剂型临床前研究，完成中试生产规模试产，争取获得药物临床试验批件。建立1套中试规模的制备工艺及流程；制定1份成药质量标准草案；完成1份稳定性研究报告；GLP条件下1份有效性研究报告及1份安全性评价报告；根据药品注册管理办法相关要求，整理并提交中药创新新药申报资料1套；带状疱疹病毒灭活率大于99%。</w:t>
      </w: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hAnsi="Calibri" w:eastAsia="仿宋_GB2312" w:cs="Times New Roman"/>
          <w:kern w:val="2"/>
          <w:sz w:val="32"/>
          <w:szCs w:val="24"/>
          <w:highlight w:val="none"/>
          <w:lang w:val="en-US" w:eastAsia="zh-CN" w:bidi="ar-SA"/>
        </w:rPr>
      </w:pPr>
      <w:r>
        <w:rPr>
          <w:rFonts w:hint="eastAsia" w:ascii="仿宋_GB2312" w:eastAsia="仿宋_GB2312" w:cs="Times New Roman"/>
          <w:b/>
          <w:bCs/>
          <w:sz w:val="32"/>
          <w:lang w:val="en-US" w:eastAsia="zh-CN"/>
        </w:rPr>
        <w:t>3、</w:t>
      </w:r>
      <w:r>
        <w:rPr>
          <w:rFonts w:hint="eastAsia" w:ascii="仿宋_GB2312" w:eastAsia="仿宋_GB2312"/>
          <w:b/>
          <w:bCs/>
          <w:sz w:val="32"/>
          <w:highlight w:val="none"/>
          <w:lang w:val="en-US" w:eastAsia="zh-CN"/>
        </w:rPr>
        <w:t>项目名称：</w:t>
      </w:r>
      <w:r>
        <w:rPr>
          <w:rFonts w:hint="eastAsia" w:ascii="仿宋_GB2312" w:hAnsi="Calibri" w:eastAsia="仿宋_GB2312" w:cs="Times New Roman"/>
          <w:kern w:val="2"/>
          <w:sz w:val="32"/>
          <w:szCs w:val="24"/>
          <w:highlight w:val="none"/>
          <w:lang w:val="en-US" w:eastAsia="zh-CN" w:bidi="ar-SA"/>
        </w:rPr>
        <w:t>山西全国独家中成药品种二次开发研究</w:t>
      </w:r>
    </w:p>
    <w:p>
      <w:pPr>
        <w:keepNext w:val="0"/>
        <w:keepLines w:val="0"/>
        <w:pageBreakBefore w:val="0"/>
        <w:widowControl w:val="0"/>
        <w:kinsoku/>
        <w:wordWrap/>
        <w:overflowPunct/>
        <w:topLinePunct w:val="0"/>
        <w:autoSpaceDE/>
        <w:autoSpaceDN/>
        <w:bidi w:val="0"/>
        <w:adjustRightInd/>
        <w:snapToGrid w:val="0"/>
        <w:spacing w:line="579" w:lineRule="exact"/>
        <w:ind w:right="28"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kinsoku/>
        <w:wordWrap/>
        <w:overflowPunct/>
        <w:topLinePunct w:val="0"/>
        <w:autoSpaceDE/>
        <w:autoSpaceDN/>
        <w:bidi w:val="0"/>
        <w:adjustRightInd/>
        <w:snapToGrid w:val="0"/>
        <w:spacing w:line="579" w:lineRule="exact"/>
        <w:ind w:right="28" w:firstLine="640" w:firstLineChars="200"/>
        <w:jc w:val="both"/>
        <w:textAlignment w:val="auto"/>
        <w:rPr>
          <w:rFonts w:hint="default"/>
          <w:lang w:val="en-US" w:eastAsia="zh-CN"/>
        </w:rPr>
      </w:pPr>
      <w:r>
        <w:rPr>
          <w:rFonts w:hint="eastAsia" w:ascii="仿宋_GB2312" w:eastAsia="仿宋_GB2312"/>
          <w:sz w:val="32"/>
          <w:lang w:val="en-US" w:eastAsia="zh-CN"/>
        </w:rPr>
        <w:t>按照国家中药注册相关技术要求，开展以下内容研究：针对具体品种存在的问题，进行药材资源学、药品工艺、药品质量标准等研究；围绕药学部分相关变更内容与注册目的，进行主要药效学、药理机制、药品安全性评价等研究；依据注册要求，进行符合伦理要求的回顾性或前瞻性临床观察，达到提供临床前药物人用经验研究的相关要求；按注册分类要求，整理药品注册资料，上报注册。</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kinsoku/>
        <w:wordWrap/>
        <w:overflowPunct/>
        <w:topLinePunct w:val="0"/>
        <w:autoSpaceDE/>
        <w:autoSpaceDN/>
        <w:bidi w:val="0"/>
        <w:adjustRightInd/>
        <w:snapToGrid w:val="0"/>
        <w:spacing w:line="579" w:lineRule="exact"/>
        <w:ind w:right="28" w:firstLine="640" w:firstLineChars="200"/>
        <w:jc w:val="both"/>
        <w:textAlignment w:val="auto"/>
        <w:rPr>
          <w:rFonts w:hint="default" w:ascii="仿宋_GB2312" w:eastAsia="仿宋_GB2312" w:cs="Times New Roman"/>
          <w:sz w:val="32"/>
          <w:lang w:val="en-US" w:eastAsia="zh-CN"/>
        </w:rPr>
      </w:pPr>
      <w:r>
        <w:rPr>
          <w:rFonts w:hint="eastAsia" w:ascii="仿宋_GB2312" w:eastAsia="仿宋_GB2312"/>
          <w:sz w:val="32"/>
          <w:lang w:val="en-US" w:eastAsia="zh-CN"/>
        </w:rPr>
        <w:t>药学研究达到资源评价、工艺合理性与可行性、标准可控，完成药学部分注册资料，符合相关技术要求；药理研究完成药理部分注册资料，符合相关技术要求；回顾性或前瞻性临床观察资料符合注册要求；</w:t>
      </w:r>
      <w:r>
        <w:rPr>
          <w:rFonts w:hint="eastAsia" w:ascii="仿宋_GB2312" w:eastAsia="仿宋_GB2312" w:cs="Times New Roman"/>
          <w:sz w:val="32"/>
          <w:lang w:val="en-US" w:eastAsia="zh-CN"/>
        </w:rPr>
        <w:t>获得受理通知书。</w:t>
      </w:r>
    </w:p>
    <w:p>
      <w:pPr>
        <w:keepNext w:val="0"/>
        <w:keepLines w:val="0"/>
        <w:pageBreakBefore w:val="0"/>
        <w:widowControl w:val="0"/>
        <w:kinsoku/>
        <w:wordWrap/>
        <w:overflowPunct/>
        <w:topLinePunct w:val="0"/>
        <w:autoSpaceDE/>
        <w:autoSpaceDN/>
        <w:bidi w:val="0"/>
        <w:adjustRightInd/>
        <w:snapToGrid w:val="0"/>
        <w:spacing w:line="579" w:lineRule="exact"/>
        <w:ind w:right="28" w:firstLine="640" w:firstLineChars="200"/>
        <w:jc w:val="both"/>
        <w:textAlignment w:val="auto"/>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b/>
          <w:bCs/>
          <w:sz w:val="32"/>
          <w:lang w:val="en-US" w:eastAsia="zh-CN"/>
        </w:rPr>
        <w:t>4、</w:t>
      </w:r>
      <w:r>
        <w:rPr>
          <w:rFonts w:hint="eastAsia" w:ascii="仿宋_GB2312" w:eastAsia="仿宋_GB2312"/>
          <w:b/>
          <w:bCs/>
          <w:sz w:val="32"/>
          <w:lang w:val="en-US" w:eastAsia="zh-CN"/>
        </w:rPr>
        <w:t>项目名称：</w:t>
      </w:r>
      <w:r>
        <w:rPr>
          <w:rFonts w:hint="eastAsia" w:ascii="仿宋_GB2312" w:eastAsia="仿宋_GB2312" w:cs="Times New Roman"/>
          <w:sz w:val="32"/>
          <w:lang w:val="en-US" w:eastAsia="zh-CN"/>
        </w:rPr>
        <w:t>山西优势中成药品种增加功能主治改良型新药研发</w:t>
      </w:r>
    </w:p>
    <w:p>
      <w:pPr>
        <w:pStyle w:val="4"/>
        <w:keepNext w:val="0"/>
        <w:keepLines w:val="0"/>
        <w:pageBreakBefore w:val="0"/>
        <w:widowControl w:val="0"/>
        <w:kinsoku/>
        <w:wordWrap/>
        <w:overflowPunct/>
        <w:topLinePunct w:val="0"/>
        <w:autoSpaceDE/>
        <w:autoSpaceDN/>
        <w:bidi w:val="0"/>
        <w:adjustRightInd/>
        <w:spacing w:line="579" w:lineRule="exact"/>
        <w:ind w:firstLine="482"/>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pStyle w:val="4"/>
        <w:keepNext w:val="0"/>
        <w:keepLines w:val="0"/>
        <w:pageBreakBefore w:val="0"/>
        <w:widowControl w:val="0"/>
        <w:kinsoku/>
        <w:wordWrap/>
        <w:overflowPunct/>
        <w:topLinePunct w:val="0"/>
        <w:autoSpaceDE/>
        <w:autoSpaceDN/>
        <w:bidi w:val="0"/>
        <w:adjustRightInd/>
        <w:spacing w:line="579" w:lineRule="exact"/>
        <w:ind w:firstLine="482"/>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基于临床需求，依托山西优势中成药品种开发新适应症的改良型新药。主要包括：临床人用资料总结与数据分析；药效研究与资料整理；长期毒性研究与技术资料整理；改良型中药新药研究资料整理，提出注册申请。</w:t>
      </w:r>
    </w:p>
    <w:p>
      <w:pPr>
        <w:pStyle w:val="4"/>
        <w:keepNext w:val="0"/>
        <w:keepLines w:val="0"/>
        <w:pageBreakBefore w:val="0"/>
        <w:widowControl w:val="0"/>
        <w:kinsoku/>
        <w:wordWrap/>
        <w:overflowPunct/>
        <w:topLinePunct w:val="0"/>
        <w:autoSpaceDE/>
        <w:autoSpaceDN/>
        <w:bidi w:val="0"/>
        <w:adjustRightInd/>
        <w:spacing w:line="579" w:lineRule="exact"/>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leftChars="0"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完成改良型新药开发所需的临床人用经验总结与数据统计分析研究、药学研究、药理毒理研究等，获得受理通知书，力争获得药物临床试验批件。获得中成药2.3类改良型新药开发研究注册申报资料1套，包括综述资料1份、药效学资料1份、安全性评价报告1份（不少于6个月的长期毒性研究）。</w:t>
      </w: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sz w:val="32"/>
          <w:lang w:val="en-US" w:eastAsia="zh-CN"/>
        </w:rPr>
      </w:pPr>
      <w:r>
        <w:rPr>
          <w:rFonts w:hint="eastAsia" w:ascii="仿宋_GB2312" w:eastAsia="仿宋_GB2312"/>
          <w:b/>
          <w:bCs/>
          <w:sz w:val="32"/>
          <w:lang w:val="en-US" w:eastAsia="zh-CN"/>
        </w:rPr>
        <w:t>5、项目名称：</w:t>
      </w:r>
      <w:r>
        <w:rPr>
          <w:rFonts w:hint="eastAsia" w:ascii="仿宋_GB2312" w:eastAsia="仿宋_GB2312" w:cs="Times New Roman"/>
          <w:sz w:val="32"/>
          <w:lang w:val="en-US" w:eastAsia="zh-CN"/>
        </w:rPr>
        <w:t>基于古代经典名方的新药研发</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1"/>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依据《古代经典名方目录（第一批）》，选择以晋产道地药材为主药的经典名方为研究对象，开展古代经典名方简化注册技术研究，完成技术资料整理，上报注册。主要包括：药材研究、饮片研究、基准样品研究、制剂生产研究、制剂质量和质量标准研究、相关性研究和稳定性研究等。</w:t>
      </w:r>
    </w:p>
    <w:p>
      <w:pPr>
        <w:keepNext w:val="0"/>
        <w:keepLines w:val="0"/>
        <w:pageBreakBefore w:val="0"/>
        <w:widowControl w:val="0"/>
        <w:kinsoku/>
        <w:wordWrap/>
        <w:overflowPunct/>
        <w:topLinePunct w:val="0"/>
        <w:autoSpaceDE/>
        <w:autoSpaceDN/>
        <w:bidi w:val="0"/>
        <w:adjustRightInd/>
        <w:snapToGrid w:val="0"/>
        <w:spacing w:line="579" w:lineRule="exact"/>
        <w:ind w:right="28" w:firstLine="642" w:firstLineChars="200"/>
        <w:jc w:val="both"/>
        <w:textAlignment w:val="auto"/>
        <w:rPr>
          <w:rFonts w:hint="eastAsia" w:ascii="仿宋_GB2312" w:eastAsia="仿宋_GB2312" w:cs="Times New Roman"/>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default" w:ascii="仿宋_GB2312" w:eastAsia="仿宋_GB2312" w:cs="Times New Roman"/>
          <w:sz w:val="32"/>
          <w:lang w:val="en-US" w:eastAsia="zh-CN"/>
        </w:rPr>
      </w:pPr>
      <w:r>
        <w:rPr>
          <w:rFonts w:hint="eastAsia" w:ascii="仿宋_GB2312" w:eastAsia="仿宋_GB2312" w:cs="Times New Roman"/>
          <w:sz w:val="32"/>
          <w:lang w:val="en-US" w:eastAsia="zh-CN"/>
        </w:rPr>
        <w:t>达到经典名方简化注册的技术要求，获得受理证书，力争获得临床批件。处方及其药材来源考证资料翔实、正确，达到注册要求；药材资源评价资料符合要求，制定的药材和饮片质量标准符合注册要求；制备出物质基准，完成的工艺与质量标准研究符合要求；经典名方制剂与物质基准的质量一致性好，生产工艺合理可行；经典名方制剂质量标准符合注册要求。</w:t>
      </w:r>
    </w:p>
    <w:p>
      <w:pPr>
        <w:keepNext w:val="0"/>
        <w:keepLines w:val="0"/>
        <w:pageBreakBefore w:val="0"/>
        <w:widowControl w:val="0"/>
        <w:kinsoku/>
        <w:wordWrap/>
        <w:overflowPunct/>
        <w:topLinePunct w:val="0"/>
        <w:autoSpaceDE/>
        <w:autoSpaceDN/>
        <w:bidi w:val="0"/>
        <w:adjustRightInd/>
        <w:spacing w:line="579" w:lineRule="exact"/>
        <w:textAlignment w:val="auto"/>
        <w:rPr>
          <w:rFonts w:hint="default"/>
          <w:lang w:val="en-US" w:eastAsia="zh-CN"/>
        </w:rPr>
      </w:pPr>
      <w:r>
        <w:rPr>
          <w:rFonts w:hint="default"/>
          <w:lang w:val="en-US"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sz w:val="32"/>
          <w:lang w:val="en-US" w:eastAsia="zh-CN"/>
        </w:rPr>
      </w:pPr>
      <w:r>
        <w:rPr>
          <w:rFonts w:hint="eastAsia" w:ascii="仿宋_GB2312" w:eastAsia="仿宋_GB2312"/>
          <w:b/>
          <w:bCs/>
          <w:sz w:val="32"/>
          <w:lang w:val="en-US" w:eastAsia="zh-CN"/>
        </w:rPr>
        <w:t>6、项目名称：</w:t>
      </w:r>
      <w:r>
        <w:rPr>
          <w:rFonts w:hint="eastAsia" w:ascii="仿宋_GB2312" w:eastAsia="仿宋_GB2312" w:cs="Times New Roman"/>
          <w:sz w:val="32"/>
          <w:lang w:val="en-US" w:eastAsia="zh-CN"/>
        </w:rPr>
        <w:t>基于临床疗效确切协定处方的医疗机构中药制剂研发</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default"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1"/>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优选临床疗效确切、质量可控、有重要临床价值的处方；包括原、辅料的来源及质量标准研究，制剂工艺和质量标准研究，连续3批样品中试生产验证，稳定性考察，药理毒理研究（围绕各品种的功能主治，进行必要的主要药效学试验；根据品种的研究需要，开展必要的急性毒性试验和长期毒性试验）及临床研究（根据各品种的功能主治，收集不少100例的典型临床病历，并进行总结分析，形成临床总结报告）。</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kinsoku/>
        <w:wordWrap/>
        <w:overflowPunct/>
        <w:topLinePunct w:val="0"/>
        <w:autoSpaceDE/>
        <w:autoSpaceDN/>
        <w:bidi w:val="0"/>
        <w:adjustRightInd/>
        <w:spacing w:line="579" w:lineRule="exact"/>
        <w:ind w:firstLine="640" w:firstLineChars="200"/>
        <w:jc w:val="both"/>
        <w:textAlignment w:val="auto"/>
      </w:pPr>
      <w:r>
        <w:rPr>
          <w:rFonts w:hint="eastAsia" w:ascii="仿宋_GB2312" w:eastAsia="仿宋_GB2312" w:cs="Times New Roman"/>
          <w:sz w:val="32"/>
          <w:lang w:val="en-US" w:eastAsia="zh-CN"/>
        </w:rPr>
        <w:t>完成≥10种中药制剂的开发，获得医疗机构中药制剂批准文号，并投入临床使用。</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7、项目名称：</w:t>
      </w:r>
      <w:r>
        <w:rPr>
          <w:rFonts w:hint="eastAsia" w:ascii="仿宋_GB2312" w:eastAsia="仿宋_GB2312" w:cs="Times New Roman"/>
          <w:sz w:val="32"/>
          <w:lang w:val="en-US" w:eastAsia="zh-CN"/>
        </w:rPr>
        <w:t>“十大晋药”传统炮制方法标准化和现代化研究</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开展“十大晋药”传统炮制方法工艺转化研究。研究醋炙法、酒炙法、盐炙法、蜜炙法、麸炒法等传统炮制方法的技术参数、质量标准、辅料质量标准，将传统炮制方法转化为现代工业化生产，在实现中药饮片生产工业化、标准化、集约化的同时，确保中药饮片临床有效性、安全性。</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kinsoku/>
        <w:wordWrap/>
        <w:overflowPunct/>
        <w:topLinePunct w:val="0"/>
        <w:autoSpaceDE/>
        <w:autoSpaceDN/>
        <w:bidi w:val="0"/>
        <w:adjustRightInd/>
        <w:spacing w:line="579" w:lineRule="exact"/>
        <w:ind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制定“十大晋药”中药饮片内控标准和生产过程控制标准，使中药饮片产品批间一致性（相似度）不低于0.85；建设标准化中药饮片仓储库1个；制定醋炙法、酒炙法、蜜炙法、麸炒法等传统炮制方法的技术参数、质量标准和相关辅料质量标准；建设中药饮片全程质量溯源信息平台1个；申报山西省地方标准≥5项。</w:t>
      </w: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ind w:left="0" w:leftChars="0" w:firstLine="0" w:firstLineChars="0"/>
        <w:rPr>
          <w:rFonts w:hint="eastAsia"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leftChars="0" w:right="28" w:rightChars="0" w:firstLine="642" w:firstLineChars="200"/>
        <w:jc w:val="both"/>
        <w:textAlignment w:val="auto"/>
        <w:rPr>
          <w:rFonts w:hint="default" w:ascii="仿宋_GB2312" w:eastAsia="仿宋_GB2312"/>
          <w:sz w:val="32"/>
          <w:lang w:val="en-US" w:eastAsia="zh-CN"/>
        </w:rPr>
      </w:pPr>
      <w:r>
        <w:rPr>
          <w:rFonts w:hint="eastAsia" w:ascii="仿宋_GB2312" w:eastAsia="仿宋_GB2312" w:cs="Times New Roman"/>
          <w:b/>
          <w:bCs/>
          <w:sz w:val="32"/>
          <w:lang w:val="en-US" w:eastAsia="zh-CN"/>
        </w:rPr>
        <w:t>8、</w:t>
      </w:r>
      <w:r>
        <w:rPr>
          <w:rFonts w:hint="eastAsia" w:ascii="仿宋_GB2312" w:eastAsia="仿宋_GB2312"/>
          <w:b/>
          <w:bCs/>
          <w:sz w:val="32"/>
          <w:lang w:val="en-US" w:eastAsia="zh-CN"/>
        </w:rPr>
        <w:t>项目名称：</w:t>
      </w:r>
      <w:r>
        <w:rPr>
          <w:rFonts w:hint="eastAsia" w:ascii="仿宋_GB2312" w:eastAsia="仿宋_GB2312" w:cs="Times New Roman"/>
          <w:sz w:val="32"/>
          <w:lang w:val="en-US" w:eastAsia="zh-CN"/>
        </w:rPr>
        <w:t>山西道地药材炮制"火力/火候"客观化表征与饮片药性变化相关性研究及应用示范</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炒黄炮制工艺的研究，包括有效成分、有效部位、受热敏感度、时间点等考察因素，以外观性状和内在质量为指标进行综合评价，确定最佳炮制工艺；炒焦炮制工艺的研究，运用热分析技术得到药材炮制的受热敏感温度点及时间点，确定最佳炮制工艺；炒炭炮制工艺的研究，以有效成分或有效部位最大热失重速率所对应的温度及时间作为制炭的工艺参数(火力、火候)量化指标，得到制备工艺参数；运用最佳炮制工艺制备3批样品，进行工艺验证。</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default" w:ascii="仿宋_GB2312" w:eastAsia="仿宋_GB2312" w:cs="Times New Roman"/>
          <w:sz w:val="32"/>
          <w:lang w:val="en-US" w:eastAsia="zh-CN"/>
        </w:rPr>
      </w:pPr>
      <w:r>
        <w:rPr>
          <w:rFonts w:hint="eastAsia" w:ascii="仿宋_GB2312" w:eastAsia="仿宋_GB2312" w:cs="Times New Roman"/>
          <w:sz w:val="32"/>
          <w:lang w:val="en-US" w:eastAsia="zh-CN"/>
        </w:rPr>
        <w:t>确定炒黄、炒焦、炒炭的火力火候客观化表征与药性变化相关量化指标；建立炒制标准操作工艺规程至少6项，其中包含关键工艺参数各2个，完成各品种3批以上中试生产研究。形成研究报告1份，并在省内实现应用推广。</w:t>
      </w: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r>
        <w:rPr>
          <w:rFonts w:hint="default" w:ascii="仿宋_GB2312" w:eastAsia="仿宋_GB2312"/>
          <w:b/>
          <w:bCs/>
          <w:sz w:val="32"/>
          <w:lang w:val="en-US" w:eastAsia="zh-CN"/>
        </w:rPr>
        <w:br w:type="page"/>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default" w:ascii="仿宋_GB2312" w:eastAsia="仿宋_GB2312"/>
          <w:sz w:val="32"/>
          <w:lang w:val="en-US" w:eastAsia="zh-CN"/>
        </w:rPr>
      </w:pPr>
      <w:r>
        <w:rPr>
          <w:rFonts w:hint="eastAsia" w:ascii="仿宋_GB2312" w:eastAsia="仿宋_GB2312"/>
          <w:b/>
          <w:bCs/>
          <w:sz w:val="32"/>
          <w:lang w:val="en-US" w:eastAsia="zh-CN"/>
        </w:rPr>
        <w:t>9、项目名称：</w:t>
      </w:r>
      <w:r>
        <w:rPr>
          <w:rFonts w:hint="eastAsia" w:ascii="仿宋_GB2312" w:eastAsia="仿宋_GB2312" w:cs="Times New Roman"/>
          <w:sz w:val="32"/>
          <w:lang w:val="en-US" w:eastAsia="zh-CN"/>
        </w:rPr>
        <w:t>智慧中药房互联网平台研发及应用</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cs="Times New Roman"/>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充分利用现代通信技术、物联网技术、数据库技术、自动控制技术和地理围栏技术，实现电子处方的自动接受、条码打印、中药饮片调剂、复核、浸泡、煎煮、包装、发药、配送等环节信息的全过程数字化管理，做到煎药质量的全过程把控和信息追溯。</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pStyle w:val="4"/>
        <w:rPr>
          <w:rFonts w:hint="default" w:ascii="仿宋_GB2312" w:eastAsia="仿宋_GB2312" w:cs="Times New Roman"/>
          <w:sz w:val="32"/>
          <w:lang w:val="en-US" w:eastAsia="zh-CN"/>
        </w:rPr>
      </w:pPr>
      <w:r>
        <w:rPr>
          <w:rFonts w:hint="eastAsia" w:ascii="仿宋_GB2312" w:eastAsia="仿宋_GB2312" w:cs="Times New Roman"/>
          <w:sz w:val="32"/>
          <w:lang w:val="en-US" w:eastAsia="zh-CN"/>
        </w:rPr>
        <w:t>完成智慧中药房互联网平台研发及心建设，并实现应用示范。系统适配兼容国产化计算机客户端、服务器和国产数据库；手机端可随时查询药品调剂进度和配送信息；可通过扫描条形码对处方加工的过程中的各项参数进行记录，保证处方信息可以精准追溯；中药处方审核数据库应包含中药的配伍禁忌，有毒中药、特殊人群用药以及中药用量限度，可帮助药师快速审核处方；中药煎煮可实现加水量、浸泡时间、火候、煎煮时间与次数、特殊的煎煮方式等参数的自动控制，保证中药汤剂的质量；配送系统可智能化选择最优配送点和的配送路线。</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420" w:firstLineChars="200"/>
        <w:jc w:val="both"/>
        <w:textAlignment w:val="auto"/>
      </w:pPr>
    </w:p>
    <w:p>
      <w:pPr>
        <w:pStyle w:val="4"/>
      </w:pPr>
    </w:p>
    <w:p>
      <w:pPr>
        <w:pStyle w:val="4"/>
      </w:pPr>
    </w:p>
    <w:p>
      <w:pPr>
        <w:pStyle w:val="4"/>
      </w:pPr>
    </w:p>
    <w:p>
      <w:pPr>
        <w:pStyle w:val="4"/>
      </w:pPr>
    </w:p>
    <w:p>
      <w:pPr>
        <w:pStyle w:val="4"/>
      </w:pPr>
    </w:p>
    <w:p>
      <w:pPr>
        <w:pStyle w:val="4"/>
        <w:ind w:left="0" w:leftChars="0" w:firstLine="0" w:firstLineChars="0"/>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sz w:val="32"/>
          <w:lang w:val="en-US" w:eastAsia="zh-CN"/>
        </w:rPr>
      </w:pPr>
      <w:r>
        <w:rPr>
          <w:rFonts w:hint="eastAsia" w:ascii="仿宋_GB2312" w:eastAsia="仿宋_GB2312"/>
          <w:b/>
          <w:bCs/>
          <w:sz w:val="32"/>
          <w:lang w:val="en-US" w:eastAsia="zh-CN"/>
        </w:rPr>
        <w:t>10、项目名称：</w:t>
      </w:r>
      <w:r>
        <w:rPr>
          <w:rFonts w:hint="eastAsia" w:ascii="仿宋_GB2312" w:eastAsia="仿宋_GB2312" w:cs="Times New Roman"/>
          <w:sz w:val="32"/>
          <w:lang w:val="en-US" w:eastAsia="zh-CN"/>
        </w:rPr>
        <w:t>国医大师数字化传承应用诊疗体系研发</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b/>
          <w:bCs/>
          <w:sz w:val="32"/>
          <w:lang w:val="en-US" w:eastAsia="zh-CN"/>
        </w:rPr>
      </w:pPr>
      <w:r>
        <w:rPr>
          <w:rFonts w:hint="eastAsia" w:ascii="仿宋_GB2312" w:eastAsia="仿宋_GB2312"/>
          <w:b w:val="0"/>
          <w:bCs w:val="0"/>
          <w:sz w:val="32"/>
          <w:lang w:val="en-US" w:eastAsia="zh-CN"/>
        </w:rPr>
        <w:t>基于</w:t>
      </w:r>
      <w:r>
        <w:rPr>
          <w:rFonts w:hint="eastAsia" w:ascii="仿宋_GB2312" w:eastAsia="仿宋_GB2312" w:cs="Times New Roman"/>
          <w:sz w:val="32"/>
          <w:lang w:val="en-US" w:eastAsia="zh-CN"/>
        </w:rPr>
        <w:t>国医大师积累的大量医案，通过应用大数据分析技术，探寻医案中辨证理论规律，研究方药配伍特点；通过应用可视化技术将“病证-对法-对药-处方”转化为直观易懂的数字化图像，构建结构化“医案-对法--对药”数理模型和数据库，形成具有辨证思维过程的“活化”数字化传承应用诊疗体系。</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pStyle w:val="4"/>
      </w:pPr>
      <w:r>
        <w:rPr>
          <w:rFonts w:hint="eastAsia" w:ascii="仿宋_GB2312" w:eastAsia="仿宋_GB2312" w:cs="Times New Roman"/>
          <w:sz w:val="32"/>
          <w:lang w:val="en-US" w:eastAsia="zh-CN"/>
        </w:rPr>
        <w:t>建立数据库：收录医案≥9000份，常用中药≥2000味、常见病证≥100个、“对药”≥300个，明确病证和“对药”之间的关联关系；开发“对法-对药-病证-人体”可视化关联图谱软件1套；形成“对法”学术思想“对药”传承数字化诊疗体系1套，形成“糖尿病”、“过敏性哮喘”、“月经病”等3~5个“对药验方”；建设“对药”数字化传承平台：支持缩放、漫游、选择等操作，支持平台注册、查询、搜索和展示功能，支持多形态数据展示方式，支持200人同时在线访问查询，整体响应性能在≤5s，文本信息交换响应时间≤1s，病案查询时间≤3s。</w:t>
      </w:r>
    </w:p>
    <w:p/>
    <w:p>
      <w:pPr>
        <w:pStyle w:val="4"/>
      </w:pPr>
    </w:p>
    <w:p>
      <w:pPr>
        <w:pStyle w:val="4"/>
      </w:pPr>
    </w:p>
    <w:p>
      <w:pPr>
        <w:pStyle w:val="4"/>
      </w:pPr>
    </w:p>
    <w:p>
      <w:pPr>
        <w:pStyle w:val="4"/>
      </w:pPr>
    </w:p>
    <w:p>
      <w:pPr>
        <w:pStyle w:val="4"/>
      </w:pPr>
    </w:p>
    <w:p>
      <w:pPr>
        <w:pStyle w:val="4"/>
      </w:pPr>
    </w:p>
    <w:p>
      <w:pPr>
        <w:pStyle w:val="4"/>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sz w:val="32"/>
          <w:lang w:val="en-US" w:eastAsia="zh-CN"/>
        </w:rPr>
      </w:pPr>
      <w:r>
        <w:rPr>
          <w:rFonts w:hint="eastAsia" w:ascii="仿宋_GB2312" w:eastAsia="仿宋_GB2312"/>
          <w:b/>
          <w:bCs/>
          <w:sz w:val="32"/>
          <w:lang w:val="en-US" w:eastAsia="zh-CN"/>
        </w:rPr>
        <w:t>11、项目名称：</w:t>
      </w:r>
      <w:r>
        <w:rPr>
          <w:rFonts w:hint="eastAsia" w:ascii="仿宋_GB2312" w:eastAsia="仿宋_GB2312" w:cs="Times New Roman"/>
          <w:sz w:val="32"/>
          <w:lang w:val="en-US" w:eastAsia="zh-CN"/>
        </w:rPr>
        <w:t>糖尿病肾病灸药结合精准诊疗技术体系构建及应用研究</w:t>
      </w:r>
    </w:p>
    <w:p>
      <w:pPr>
        <w:pStyle w:val="4"/>
        <w:keepNext w:val="0"/>
        <w:keepLines w:val="0"/>
        <w:pageBreakBefore w:val="0"/>
        <w:widowControl w:val="0"/>
        <w:numPr>
          <w:ilvl w:val="0"/>
          <w:numId w:val="0"/>
        </w:numPr>
        <w:kinsoku/>
        <w:wordWrap/>
        <w:overflowPunct/>
        <w:topLinePunct w:val="0"/>
        <w:autoSpaceDE/>
        <w:autoSpaceDN/>
        <w:bidi w:val="0"/>
        <w:adjustRightInd/>
        <w:spacing w:line="579" w:lineRule="exact"/>
        <w:ind w:firstLine="642" w:firstLineChars="200"/>
        <w:jc w:val="both"/>
        <w:textAlignment w:val="auto"/>
        <w:rPr>
          <w:color w:val="auto"/>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b/>
          <w:bCs/>
          <w:sz w:val="32"/>
          <w:lang w:val="en-US" w:eastAsia="zh-CN"/>
        </w:rPr>
      </w:pPr>
      <w:r>
        <w:rPr>
          <w:rFonts w:hint="eastAsia" w:ascii="仿宋_GB2312" w:eastAsia="仿宋_GB2312" w:cs="Times New Roman"/>
          <w:sz w:val="32"/>
          <w:lang w:val="en-US" w:eastAsia="zh-CN"/>
        </w:rPr>
        <w:t>建立糖尿病肾病辩证分型客观指标体系，挖掘糖尿病肾病早期诊断指标，将已有诊断指标与新型指标形成多指标体系，并进行诊断价值评价；构建灸药结合治疗技术体系，通过治疗前后的疗效评价验证诊断体系的准确性；在省内开展多中心临床应用研究。</w:t>
      </w:r>
    </w:p>
    <w:p>
      <w:pPr>
        <w:pStyle w:val="4"/>
        <w:keepNext w:val="0"/>
        <w:keepLines w:val="0"/>
        <w:pageBreakBefore w:val="0"/>
        <w:widowControl w:val="0"/>
        <w:numPr>
          <w:ilvl w:val="0"/>
          <w:numId w:val="0"/>
        </w:numPr>
        <w:kinsoku/>
        <w:wordWrap/>
        <w:overflowPunct/>
        <w:topLinePunct w:val="0"/>
        <w:autoSpaceDE/>
        <w:autoSpaceDN/>
        <w:bidi w:val="0"/>
        <w:adjustRightInd/>
        <w:spacing w:line="579" w:lineRule="exact"/>
        <w:ind w:firstLine="642" w:firstLineChars="200"/>
        <w:jc w:val="both"/>
        <w:textAlignment w:val="auto"/>
        <w:rPr>
          <w:color w:val="auto"/>
        </w:rPr>
      </w:pPr>
      <w:r>
        <w:rPr>
          <w:rFonts w:hint="eastAsia" w:ascii="仿宋_GB2312" w:eastAsia="仿宋_GB2312"/>
          <w:b/>
          <w:bCs/>
          <w:sz w:val="32"/>
          <w:lang w:val="en-US" w:eastAsia="zh-CN"/>
        </w:rPr>
        <w:t>技术考核指标：</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确定糖尿病肾病早期和不同证型的诊断指标，包括尿代谢物、尿外泌体miRNA、微量白蛋白等指标，其专属度、灵敏度、准确度及限度值，达到临床诊断的要求，具有临床价值；临床诊疗的有效率提高25%以上；确定不同证型糖尿病肾病6个以上灸药结合治疗处方；肝肾功能、血常规符合安全性要求；在省内不少于5家医疗机构开展多中心临床研究，病例不少于150例；形成专业团体的糖尿病肾病灸药结合诊疗专家共识。</w:t>
      </w: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ind w:left="0" w:leftChars="0" w:firstLine="0" w:firstLineChars="0"/>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sz w:val="32"/>
          <w:lang w:val="en-US" w:eastAsia="zh-CN"/>
        </w:rPr>
      </w:pPr>
      <w:r>
        <w:rPr>
          <w:rFonts w:hint="eastAsia" w:ascii="仿宋_GB2312" w:eastAsia="仿宋_GB2312"/>
          <w:b/>
          <w:bCs/>
          <w:sz w:val="32"/>
          <w:lang w:val="en-US" w:eastAsia="zh-CN"/>
        </w:rPr>
        <w:t>12、项目名称：</w:t>
      </w:r>
      <w:r>
        <w:rPr>
          <w:rFonts w:hint="eastAsia" w:ascii="仿宋_GB2312" w:eastAsia="仿宋_GB2312" w:cs="Times New Roman"/>
          <w:sz w:val="32"/>
          <w:lang w:val="en-US" w:eastAsia="zh-CN"/>
        </w:rPr>
        <w:t>基于仿生技术建立山西道地药材智能化质量评价与数字化栽培体系的研究</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从“气、味、色”三方面构建山西道地药材“道地性+独特性”关键形态特征的全成分及痕量成分表征体系，解析药材“外貌特征”密切关联的关键成分群，引入电子鼻、舌等仿生技术建立野生、仿野生及栽培药材的判别模型；采用基于“道地性+独特性”关键特征的数字化分析方法，以数字农业融入药材种植与生产过程为背景，建立药材“多指标+全过程”生长因子优化方法与云端调控模式，基于仿生技术研发药材数字化关键生产技术；获取药材“道地性+独特性”的多维、多通道数据，包括外观性状、关键成分、药理活性等，搭建山西道地药材智能化质量评价和生产地域可溯性集成平台。</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pStyle w:val="4"/>
        <w:rPr>
          <w:rFonts w:hint="eastAsia" w:ascii="仿宋_GB2312" w:eastAsia="仿宋_GB2312" w:cs="Times New Roman"/>
          <w:sz w:val="32"/>
          <w:lang w:val="en-US" w:eastAsia="zh-CN"/>
        </w:rPr>
      </w:pPr>
      <w:r>
        <w:rPr>
          <w:rFonts w:hint="eastAsia" w:ascii="仿宋_GB2312" w:eastAsia="仿宋_GB2312" w:cs="Times New Roman"/>
          <w:sz w:val="32"/>
          <w:lang w:val="en-US" w:eastAsia="zh-CN"/>
        </w:rPr>
        <w:t>获取1中山西道地药材“气、味、色”的客观表征数据，构建野生、仿野生及栽培药材的判别模型1个；建立可检测、可预测、可快速评价药材规格等级的质量标准体系1套；建立药材“多指标+全过程”生长因子优化方法与云端调控模式，基于仿生技术研发药材数字化生产关键技术1套；建立基于仿生技术的中药智能化质量评价与数字化栽培体系1个；起草团体标准1份。</w:t>
      </w:r>
    </w:p>
    <w:p>
      <w:pPr>
        <w:pStyle w:val="4"/>
        <w:rPr>
          <w:rFonts w:hint="eastAsia" w:ascii="仿宋_GB2312" w:eastAsia="仿宋_GB2312" w:cs="Times New Roman"/>
          <w:sz w:val="32"/>
          <w:lang w:val="en-US" w:eastAsia="zh-CN"/>
        </w:rPr>
      </w:pPr>
    </w:p>
    <w:p>
      <w:pPr>
        <w:pStyle w:val="4"/>
        <w:keepNext w:val="0"/>
        <w:keepLines w:val="0"/>
        <w:pageBreakBefore w:val="0"/>
        <w:widowControl w:val="0"/>
        <w:kinsoku/>
        <w:wordWrap/>
        <w:overflowPunct/>
        <w:topLinePunct w:val="0"/>
        <w:autoSpaceDE/>
        <w:autoSpaceDN/>
        <w:bidi w:val="0"/>
        <w:adjustRightInd/>
        <w:spacing w:line="579" w:lineRule="exact"/>
        <w:ind w:left="0" w:leftChars="0" w:firstLine="642" w:firstLineChars="200"/>
        <w:textAlignment w:val="auto"/>
        <w:rPr>
          <w:rFonts w:hint="default" w:ascii="仿宋_GB2312" w:eastAsia="仿宋_GB2312" w:cs="Times New Roman"/>
          <w:sz w:val="32"/>
          <w:lang w:val="en-US" w:eastAsia="zh-CN"/>
        </w:rPr>
      </w:pPr>
      <w:r>
        <w:rPr>
          <w:rFonts w:hint="eastAsia" w:ascii="仿宋_GB2312" w:eastAsia="仿宋_GB2312"/>
          <w:b/>
          <w:bCs/>
          <w:sz w:val="32"/>
          <w:lang w:val="en-US" w:eastAsia="zh-CN"/>
        </w:rPr>
        <w:t>13、项目名称：</w:t>
      </w:r>
      <w:r>
        <w:rPr>
          <w:rFonts w:hint="eastAsia" w:ascii="仿宋_GB2312" w:hAnsi="Calibri" w:eastAsia="仿宋_GB2312" w:cs="Times New Roman"/>
          <w:kern w:val="2"/>
          <w:sz w:val="32"/>
          <w:szCs w:val="24"/>
          <w:lang w:val="en-US" w:eastAsia="zh-CN" w:bidi="ar-SA"/>
        </w:rPr>
        <w:t>潞党参高品质特征及标准体系研究与应用</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cs="Times New Roman"/>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潞党参道地特征研究，主要分析潞党参的多糖、及其降解寡糖、单糖组成及结构特征及潞党参的小分子化合物特征（含量范围或成分比例等）；建立可以凸显潞党参与白条党参等其它同基源党参品质的质量评价体系，为潞党参列入《中国药典》提供数据支撑；基于移动互联网、物联网技术，以二维码、RFID 标签为载体，建立潞党参药材生产全链条质量追溯体系。</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kinsoku/>
        <w:wordWrap/>
        <w:overflowPunct/>
        <w:topLinePunct w:val="0"/>
        <w:autoSpaceDE/>
        <w:autoSpaceDN/>
        <w:bidi w:val="0"/>
        <w:adjustRightInd/>
        <w:spacing w:line="579" w:lineRule="exact"/>
        <w:ind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建立以道地性为导向的潞党参质量标准体系；构建潞党参全链条质量追溯系统；示范性打造1-2个优质优价潞党参产品。</w:t>
      </w: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pStyle w:val="4"/>
        <w:rPr>
          <w:rFonts w:hint="default"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default" w:ascii="仿宋_GB2312" w:eastAsia="仿宋_GB2312"/>
          <w:b w:val="0"/>
          <w:bCs w:val="0"/>
          <w:sz w:val="32"/>
          <w:lang w:val="en-US" w:eastAsia="zh-CN"/>
        </w:rPr>
      </w:pPr>
      <w:r>
        <w:rPr>
          <w:rFonts w:hint="eastAsia" w:ascii="仿宋_GB2312" w:eastAsia="仿宋_GB2312" w:cs="Times New Roman"/>
          <w:b/>
          <w:bCs/>
          <w:sz w:val="32"/>
          <w:lang w:val="en-US" w:eastAsia="zh-CN"/>
        </w:rPr>
        <w:t>14、</w:t>
      </w:r>
      <w:r>
        <w:rPr>
          <w:rFonts w:hint="eastAsia" w:ascii="仿宋_GB2312" w:eastAsia="仿宋_GB2312"/>
          <w:b/>
          <w:bCs/>
          <w:sz w:val="32"/>
          <w:lang w:val="en-US" w:eastAsia="zh-CN"/>
        </w:rPr>
        <w:t>项目名称：</w:t>
      </w:r>
      <w:r>
        <w:rPr>
          <w:rFonts w:hint="eastAsia" w:ascii="仿宋_GB2312" w:eastAsia="仿宋_GB2312"/>
          <w:b w:val="0"/>
          <w:bCs w:val="0"/>
          <w:sz w:val="32"/>
          <w:lang w:val="en-US" w:eastAsia="zh-CN"/>
        </w:rPr>
        <w:t>香棒虫草的人工培育和新食品原料开发研究</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通过分离野生香棒虫草菌种，采用分子学菌种鉴定手段，分析比较香棒虫草的真菌多样性，筛选适合人工栽培提供优良的菌株和菌株组合；采用不同培养条件，分析不同培养基对香棒虫草的菌丝、子实体和功能成分形成的影响，筛选并优化培养基质，同时采用液体发酵方法，探索建立香棒虫草振菌的液体发酵工艺；按国家新食品原料的申请标准对香棒虫草人工栽培体和发酵菌丝的营养功效成分进统的分析与评价，建立质量标准，为香棒虫草的规模化工业生产和作为新食品原料开发提供科学依据。</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建立野生香棒虫草菌株数据库1个</w:t>
      </w:r>
      <w:r>
        <w:rPr>
          <w:rFonts w:hint="default" w:ascii="仿宋_GB2312" w:eastAsia="仿宋_GB2312" w:cs="Times New Roman"/>
          <w:sz w:val="32"/>
          <w:lang w:val="en-US" w:eastAsia="zh-CN"/>
        </w:rPr>
        <w:t>；建立</w:t>
      </w:r>
      <w:r>
        <w:rPr>
          <w:rFonts w:hint="eastAsia" w:ascii="仿宋_GB2312" w:eastAsia="仿宋_GB2312" w:cs="Times New Roman"/>
          <w:sz w:val="32"/>
          <w:lang w:val="en-US" w:eastAsia="zh-CN"/>
        </w:rPr>
        <w:t>香棒虫草人工培育和发酵菌丝生产的技术体系，完成科学报告1份；建立基于人工培育的香棒虫草质量标准1套；建立香棒虫草发酵菌丝体质量标准1套；以人工培育香棒虫草为原料开发功能食品1个。</w:t>
      </w: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cs="Times New Roman"/>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val="0"/>
          <w:bCs w:val="0"/>
          <w:sz w:val="32"/>
          <w:lang w:val="en-US" w:eastAsia="zh-CN"/>
        </w:rPr>
      </w:pPr>
      <w:r>
        <w:rPr>
          <w:rFonts w:hint="eastAsia" w:ascii="仿宋_GB2312" w:eastAsia="仿宋_GB2312" w:cs="Times New Roman"/>
          <w:b/>
          <w:bCs/>
          <w:sz w:val="32"/>
          <w:lang w:val="en-US" w:eastAsia="zh-CN"/>
        </w:rPr>
        <w:t>15、</w:t>
      </w:r>
      <w:r>
        <w:rPr>
          <w:rFonts w:hint="eastAsia" w:ascii="仿宋_GB2312" w:eastAsia="仿宋_GB2312"/>
          <w:b/>
          <w:bCs/>
          <w:sz w:val="32"/>
          <w:lang w:val="en-US" w:eastAsia="zh-CN"/>
        </w:rPr>
        <w:t>项目名称：</w:t>
      </w:r>
      <w:r>
        <w:rPr>
          <w:rFonts w:hint="eastAsia" w:ascii="仿宋_GB2312" w:eastAsia="仿宋_GB2312" w:cs="Times New Roman"/>
          <w:b w:val="0"/>
          <w:bCs w:val="0"/>
          <w:sz w:val="32"/>
          <w:lang w:val="en-US" w:eastAsia="zh-CN"/>
        </w:rPr>
        <w:t>基于山西省优势药食同源原料的保健酒研发</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以山西省优势药食同源物质为主要原料，开发出能够增强免疫力的保健酒,解决中药保健酒长期存放易浑浊等关键共性技术问题。开展配方筛选关键技术研究，深入挖掘原料功效因子、结合药味药性、配伍规律以及口感分析等因素确定最佳的产品配方；开展生产工艺关键技术研究，包括原料同基酒的料液比、浸泡时间、浸泡次数等浸泡工艺和澄清工艺研究；开展产品稳定性、功效、安全性研究，确定相应的感官指标、卫生学指标及功效成分指标，建立产品的质量标准并完成备案及注册工作。</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0" w:firstLineChars="200"/>
        <w:jc w:val="both"/>
        <w:textAlignment w:val="auto"/>
        <w:rPr>
          <w:rFonts w:hint="eastAsia" w:ascii="仿宋_GB2312" w:eastAsia="仿宋_GB2312" w:cs="Times New Roman"/>
          <w:sz w:val="32"/>
          <w:lang w:val="en-US" w:eastAsia="zh-CN"/>
        </w:rPr>
      </w:pPr>
      <w:r>
        <w:rPr>
          <w:rFonts w:hint="eastAsia" w:ascii="仿宋_GB2312" w:eastAsia="仿宋_GB2312" w:cs="Times New Roman"/>
          <w:sz w:val="32"/>
          <w:lang w:val="en-US" w:eastAsia="zh-CN"/>
        </w:rPr>
        <w:t>完成1款增强免疫力保健酒配方、工艺及产品质量研究，并获得保健食品注册资料一套；获得保健食品注册批件1个。</w:t>
      </w: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pStyle w:val="4"/>
        <w:rPr>
          <w:rFonts w:hint="eastAsia" w:ascii="仿宋_GB2312" w:eastAsia="仿宋_GB2312" w:cs="Times New Roman"/>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b/>
          <w:bCs/>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79" w:lineRule="exact"/>
        <w:ind w:right="28" w:rightChars="0" w:firstLine="642" w:firstLineChars="200"/>
        <w:jc w:val="both"/>
        <w:textAlignment w:val="auto"/>
        <w:rPr>
          <w:rFonts w:hint="eastAsia" w:ascii="仿宋_GB2312" w:eastAsia="仿宋_GB2312"/>
          <w:sz w:val="32"/>
          <w:lang w:val="en-US" w:eastAsia="zh-CN"/>
        </w:rPr>
      </w:pPr>
      <w:r>
        <w:rPr>
          <w:rFonts w:hint="eastAsia" w:ascii="仿宋_GB2312" w:eastAsia="仿宋_GB2312"/>
          <w:b/>
          <w:bCs/>
          <w:sz w:val="32"/>
          <w:lang w:val="en-US" w:eastAsia="zh-CN"/>
        </w:rPr>
        <w:t>16、项目名称：</w:t>
      </w:r>
      <w:r>
        <w:rPr>
          <w:rFonts w:hint="eastAsia" w:ascii="仿宋_GB2312" w:eastAsia="仿宋_GB2312" w:cs="Times New Roman"/>
          <w:sz w:val="32"/>
          <w:lang w:val="en-US" w:eastAsia="zh-CN"/>
        </w:rPr>
        <w:t>晋产中药材原料品质鉴定与质量安全风险控制技术研究</w:t>
      </w:r>
    </w:p>
    <w:p>
      <w:pPr>
        <w:keepNext w:val="0"/>
        <w:keepLines w:val="0"/>
        <w:pageBreakBefore w:val="0"/>
        <w:widowControl w:val="0"/>
        <w:kinsoku/>
        <w:wordWrap/>
        <w:overflowPunct/>
        <w:topLinePunct w:val="0"/>
        <w:autoSpaceDE/>
        <w:autoSpaceDN/>
        <w:bidi w:val="0"/>
        <w:adjustRightInd/>
        <w:snapToGrid w:val="0"/>
        <w:spacing w:line="579" w:lineRule="exact"/>
        <w:ind w:right="28"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主要研究内容：</w:t>
      </w:r>
    </w:p>
    <w:p>
      <w:pPr>
        <w:keepNext w:val="0"/>
        <w:keepLines w:val="0"/>
        <w:pageBreakBefore w:val="0"/>
        <w:widowControl w:val="0"/>
        <w:kinsoku/>
        <w:wordWrap/>
        <w:overflowPunct/>
        <w:topLinePunct w:val="0"/>
        <w:autoSpaceDE/>
        <w:autoSpaceDN/>
        <w:bidi w:val="0"/>
        <w:adjustRightInd/>
        <w:snapToGrid w:val="0"/>
        <w:spacing w:line="579" w:lineRule="exact"/>
        <w:ind w:right="28" w:firstLine="640" w:firstLineChars="200"/>
        <w:jc w:val="both"/>
        <w:textAlignment w:val="auto"/>
        <w:rPr>
          <w:rFonts w:hint="eastAsia" w:ascii="仿宋_GB2312" w:eastAsia="仿宋_GB2312"/>
          <w:b/>
          <w:bCs/>
          <w:sz w:val="32"/>
          <w:lang w:val="en-US" w:eastAsia="zh-CN"/>
        </w:rPr>
      </w:pPr>
      <w:r>
        <w:rPr>
          <w:rFonts w:hint="eastAsia" w:ascii="仿宋_GB2312" w:eastAsia="仿宋_GB2312" w:cs="Times New Roman"/>
          <w:sz w:val="32"/>
          <w:lang w:val="en-US" w:eastAsia="zh-CN"/>
        </w:rPr>
        <w:t>基于高分辨质谱精准检测与代谢组学技术，建立晋产药材原料主要功能性成分的分子指纹图谱数据库，为道地药材建立品质“身份证”，研发道地药材原料质量分级与产地溯源精准化学分析检测方法；建立质谱为主的道地药材原料中农药残留、霉菌毒素、有机环境污染物等外源性危害物质全谱识别技术，构建药材原料典型危害物多级质谱数据库，建立危害物多谱联用定性定量综合筛查检测技术；明确我省中药材原料主要危害物风险特征与迁移转化规律，研发我省道地药材原料危害物风险控制与质量提升关键技术。</w:t>
      </w:r>
    </w:p>
    <w:p>
      <w:pPr>
        <w:keepNext w:val="0"/>
        <w:keepLines w:val="0"/>
        <w:pageBreakBefore w:val="0"/>
        <w:widowControl w:val="0"/>
        <w:kinsoku/>
        <w:wordWrap/>
        <w:overflowPunct/>
        <w:topLinePunct w:val="0"/>
        <w:autoSpaceDE/>
        <w:autoSpaceDN/>
        <w:bidi w:val="0"/>
        <w:adjustRightInd/>
        <w:spacing w:line="579" w:lineRule="exact"/>
        <w:ind w:firstLine="642" w:firstLineChars="200"/>
        <w:jc w:val="both"/>
        <w:textAlignment w:val="auto"/>
        <w:rPr>
          <w:rFonts w:hint="eastAsia" w:ascii="仿宋_GB2312" w:eastAsia="仿宋_GB2312"/>
          <w:b/>
          <w:bCs/>
          <w:sz w:val="32"/>
          <w:lang w:val="en-US" w:eastAsia="zh-CN"/>
        </w:rPr>
      </w:pPr>
      <w:r>
        <w:rPr>
          <w:rFonts w:hint="eastAsia" w:ascii="仿宋_GB2312" w:eastAsia="仿宋_GB2312"/>
          <w:b/>
          <w:bCs/>
          <w:sz w:val="32"/>
          <w:lang w:val="en-US" w:eastAsia="zh-CN"/>
        </w:rPr>
        <w:t>技术考核指标：</w:t>
      </w:r>
    </w:p>
    <w:p>
      <w:pPr>
        <w:keepNext w:val="0"/>
        <w:keepLines w:val="0"/>
        <w:pageBreakBefore w:val="0"/>
        <w:widowControl w:val="0"/>
        <w:kinsoku/>
        <w:wordWrap/>
        <w:overflowPunct/>
        <w:topLinePunct w:val="0"/>
        <w:autoSpaceDE/>
        <w:autoSpaceDN/>
        <w:bidi w:val="0"/>
        <w:adjustRightInd/>
        <w:spacing w:line="579" w:lineRule="exact"/>
        <w:ind w:firstLine="640" w:firstLineChars="200"/>
        <w:jc w:val="both"/>
        <w:textAlignment w:val="auto"/>
      </w:pPr>
      <w:r>
        <w:rPr>
          <w:rFonts w:hint="eastAsia" w:ascii="仿宋_GB2312" w:eastAsia="仿宋_GB2312" w:cs="Times New Roman"/>
          <w:sz w:val="32"/>
          <w:lang w:val="en-US" w:eastAsia="zh-CN"/>
        </w:rPr>
        <w:t>建立晋产中药材（如黄芪、党参、连翘等）功能性成分分子指纹图谱数据库≥3个；建立晋产中药材原料质量分级与产地溯源精准化学分析模型≥2个；建立晋产中药材原料中300种以上潜在外源性危害物多级质谱确证数据库；明确3种中药材原料中10种以上代表性化学农药残留风险特征及迁移转化规律；建立晋产中药材原料主要危害物风险控制与质量提升关键技术1套，形成技术标准草案3项；实现2个示范基地中药材原料质量安全合格率100%。</w:t>
      </w: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default" w:ascii="仿宋_GB2312" w:hAnsi="仿宋_GB2312" w:eastAsia="仿宋_GB2312" w:cs="Times New Roman"/>
          <w:color w:val="000000"/>
          <w:sz w:val="32"/>
          <w:szCs w:val="32"/>
          <w:highlight w:val="none"/>
          <w:lang w:eastAsia="zh-CN"/>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ZkYjA1MmQ0YWI4MzMwOWM3M2U0NWQ3MGRkZjRmOWMifQ=="/>
  </w:docVars>
  <w:rsids>
    <w:rsidRoot w:val="00000000"/>
    <w:rsid w:val="0FD7817D"/>
    <w:rsid w:val="1EEB661E"/>
    <w:rsid w:val="25F7DBA5"/>
    <w:rsid w:val="273A3DF5"/>
    <w:rsid w:val="2FAF54ED"/>
    <w:rsid w:val="3F6BA0DC"/>
    <w:rsid w:val="3F6FC4B9"/>
    <w:rsid w:val="5E7F28DA"/>
    <w:rsid w:val="5F9C8639"/>
    <w:rsid w:val="61DF476C"/>
    <w:rsid w:val="76DD70F2"/>
    <w:rsid w:val="7A4D29BF"/>
    <w:rsid w:val="7AFDA6B4"/>
    <w:rsid w:val="7D4B9819"/>
    <w:rsid w:val="7DF7A4C0"/>
    <w:rsid w:val="7E8F1DE3"/>
    <w:rsid w:val="7FBD575C"/>
    <w:rsid w:val="AC7FFAEB"/>
    <w:rsid w:val="C93DBE7D"/>
    <w:rsid w:val="F7F4D514"/>
    <w:rsid w:val="FB577EC8"/>
    <w:rsid w:val="FF78DB2A"/>
    <w:rsid w:val="FFD66C9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widowControl w:val="0"/>
      <w:spacing w:after="120"/>
    </w:pPr>
    <w:rPr>
      <w:rFonts w:ascii="Calibri" w:hAnsi="Calibri"/>
      <w:szCs w:val="24"/>
    </w:rPr>
  </w:style>
  <w:style w:type="paragraph" w:styleId="4">
    <w:name w:val="Normal Indent"/>
    <w:basedOn w:val="1"/>
    <w:qFormat/>
    <w:uiPriority w:val="0"/>
    <w:pPr>
      <w:ind w:firstLine="420" w:firstLineChars="200"/>
    </w:pPr>
    <w:rPr>
      <w:rFonts w:eastAsia="宋体"/>
      <w:sz w:val="21"/>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2636</Words>
  <Characters>2799</Characters>
  <Lines>0</Lines>
  <Paragraphs>0</Paragraphs>
  <TotalTime>3</TotalTime>
  <ScaleCrop>false</ScaleCrop>
  <LinksUpToDate>false</LinksUpToDate>
  <CharactersWithSpaces>2799</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2014-10-31T04:08:00Z</dcterms:created>
  <dc:creator>Administrator</dc:creator>
  <cp:lastModifiedBy>huawei</cp:lastModifiedBy>
  <dcterms:modified xsi:type="dcterms:W3CDTF">2022-12-13T16:48:00Z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36C33F5946314452A28510A7F4B22C80</vt:lpwstr>
  </property>
</Properties>
</file>