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0" w:line="700" w:lineRule="exact"/>
        <w:jc w:val="center"/>
        <w:textAlignment w:val="auto"/>
        <w:rPr>
          <w:rFonts w:hint="eastAsia" w:ascii="方正小标宋_GBK" w:hAnsi="方正小标宋_GBK" w:eastAsia="方正小标宋_GBK" w:cs="方正小标宋_GBK"/>
          <w:b/>
          <w:bCs/>
          <w:snapToGrid/>
          <w:color w:val="auto"/>
          <w:spacing w:val="0"/>
          <w:sz w:val="44"/>
          <w:szCs w:val="44"/>
          <w:lang w:val="en-US" w:eastAsia="zh-CN"/>
        </w:rPr>
      </w:pPr>
      <w:r>
        <w:rPr>
          <w:rFonts w:hint="eastAsia" w:ascii="方正小标宋_GBK" w:hAnsi="方正小标宋_GBK" w:eastAsia="方正小标宋_GBK" w:cs="方正小标宋_GBK"/>
          <w:b/>
          <w:bCs/>
          <w:snapToGrid/>
          <w:color w:val="auto"/>
          <w:spacing w:val="0"/>
          <w:sz w:val="44"/>
          <w:szCs w:val="44"/>
          <w:lang w:val="en-US" w:eastAsia="zh-CN"/>
        </w:rPr>
        <w:t>“山西精品”申报流程</w:t>
      </w:r>
    </w:p>
    <w:p>
      <w:pPr>
        <w:pStyle w:val="4"/>
        <w:keepNext w:val="0"/>
        <w:keepLines w:val="0"/>
        <w:pageBreakBefore w:val="0"/>
        <w:widowControl w:val="0"/>
        <w:kinsoku/>
        <w:wordWrap/>
        <w:overflowPunct/>
        <w:topLinePunct w:val="0"/>
        <w:autoSpaceDE w:val="0"/>
        <w:autoSpaceDN w:val="0"/>
        <w:bidi w:val="0"/>
        <w:adjustRightInd/>
        <w:snapToGrid/>
        <w:spacing w:before="250" w:after="120" w:afterLines="0" w:line="700" w:lineRule="exact"/>
        <w:ind w:left="0" w:leftChars="0" w:right="0" w:righ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第一章 总则</w:t>
      </w: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643" w:firstLineChars="200"/>
        <w:jc w:val="left"/>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第一条</w:t>
      </w:r>
      <w:r>
        <w:rPr>
          <w:rFonts w:hint="eastAsia" w:ascii="仿宋_GB2312" w:hAnsi="仿宋_GB2312" w:eastAsia="仿宋_GB2312" w:cs="仿宋_GB2312"/>
          <w:b w:val="0"/>
          <w:snapToGrid w:val="0"/>
          <w:kern w:val="0"/>
          <w:sz w:val="32"/>
          <w:szCs w:val="32"/>
          <w:lang w:val="en-US" w:eastAsia="zh-CN" w:bidi="ar-SA"/>
        </w:rPr>
        <w:t xml:space="preserve"> 为全面实施质量强省战略，有效提升我省品牌竞争力和影响力，根据山西省人民政府《关于打造“山西精品”公用品牌全方位推动高质量发展的意见》，全面推进“山西精品”区域公用品牌认证工作，特制定本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第二条</w:t>
      </w:r>
      <w:r>
        <w:rPr>
          <w:rFonts w:hint="eastAsia" w:ascii="仿宋_GB2312" w:hAnsi="仿宋_GB2312" w:eastAsia="仿宋_GB2312" w:cs="仿宋_GB2312"/>
          <w:b w:val="0"/>
          <w:snapToGrid w:val="0"/>
          <w:kern w:val="0"/>
          <w:sz w:val="32"/>
          <w:szCs w:val="32"/>
          <w:lang w:val="en-US" w:eastAsia="zh-CN" w:bidi="ar-SA"/>
        </w:rPr>
        <w:t xml:space="preserve"> “山西精品”是我省按照“政府引导、企业自愿、社会参与、市场运作”的模式，通过“高标准+严认证+强监管”管理机制，构建国内领先、国际一流的“山西精品”公用品牌建设体系。做为本省优势企业有责任、有义务共同推动“山西精品”区域公用品牌的建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第三条</w:t>
      </w:r>
      <w:r>
        <w:rPr>
          <w:rFonts w:hint="eastAsia" w:ascii="仿宋_GB2312" w:hAnsi="仿宋_GB2312" w:eastAsia="仿宋_GB2312" w:cs="仿宋_GB2312"/>
          <w:b w:val="0"/>
          <w:snapToGrid w:val="0"/>
          <w:kern w:val="0"/>
          <w:sz w:val="32"/>
          <w:szCs w:val="32"/>
          <w:lang w:val="en-US" w:eastAsia="zh-CN" w:bidi="ar-SA"/>
        </w:rPr>
        <w:t xml:space="preserve"> 认证企业可在“山西精品”联合会相关制度范围内，合理合法的在外包装使用“山西精品”标识，提升客户对产品品质的信任度。认证企业可通过“山西精品”官网为企业及产品做营销链接。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第四条</w:t>
      </w:r>
      <w:r>
        <w:rPr>
          <w:rFonts w:hint="eastAsia" w:ascii="仿宋_GB2312" w:hAnsi="仿宋_GB2312" w:eastAsia="仿宋_GB2312" w:cs="仿宋_GB2312"/>
          <w:b w:val="0"/>
          <w:snapToGrid w:val="0"/>
          <w:kern w:val="0"/>
          <w:sz w:val="32"/>
          <w:szCs w:val="32"/>
          <w:lang w:val="en-US" w:eastAsia="zh-CN" w:bidi="ar-SA"/>
        </w:rPr>
        <w:t xml:space="preserve"> 山西精品认证的基本原则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snapToGrid w:val="0"/>
          <w:kern w:val="0"/>
          <w:sz w:val="32"/>
          <w:szCs w:val="32"/>
          <w:lang w:val="en-US" w:eastAsia="zh-CN" w:bidi="ar-SA"/>
        </w:rPr>
      </w:pPr>
      <w:r>
        <w:rPr>
          <w:rFonts w:hint="default" w:ascii="仿宋_GB2312" w:hAnsi="仿宋_GB2312" w:eastAsia="仿宋_GB2312" w:cs="仿宋_GB2312"/>
          <w:b w:val="0"/>
          <w:snapToGrid w:val="0"/>
          <w:kern w:val="0"/>
          <w:sz w:val="32"/>
          <w:szCs w:val="32"/>
          <w:lang w:val="en-US" w:eastAsia="zh-CN" w:bidi="ar-SA"/>
        </w:rPr>
        <w:t xml:space="preserve">（一）遵守国家有关的法律、法规；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snapToGrid w:val="0"/>
          <w:kern w:val="0"/>
          <w:sz w:val="32"/>
          <w:szCs w:val="32"/>
          <w:lang w:val="en-US" w:eastAsia="zh-CN" w:bidi="ar-SA"/>
        </w:rPr>
      </w:pPr>
      <w:r>
        <w:rPr>
          <w:rFonts w:hint="default" w:ascii="仿宋_GB2312" w:hAnsi="仿宋_GB2312" w:eastAsia="仿宋_GB2312" w:cs="仿宋_GB2312"/>
          <w:b w:val="0"/>
          <w:snapToGrid w:val="0"/>
          <w:kern w:val="0"/>
          <w:sz w:val="32"/>
          <w:szCs w:val="32"/>
          <w:lang w:val="en-US" w:eastAsia="zh-CN" w:bidi="ar-SA"/>
        </w:rPr>
        <w:t xml:space="preserve">（二）符合强制性标准的要求；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snapToGrid w:val="0"/>
          <w:kern w:val="0"/>
          <w:sz w:val="32"/>
          <w:szCs w:val="32"/>
          <w:lang w:val="en-US" w:eastAsia="zh-CN" w:bidi="ar-SA"/>
        </w:rPr>
      </w:pPr>
      <w:r>
        <w:rPr>
          <w:rFonts w:hint="default" w:ascii="仿宋_GB2312" w:hAnsi="仿宋_GB2312" w:eastAsia="仿宋_GB2312" w:cs="仿宋_GB2312"/>
          <w:b w:val="0"/>
          <w:snapToGrid w:val="0"/>
          <w:kern w:val="0"/>
          <w:sz w:val="32"/>
          <w:szCs w:val="32"/>
          <w:lang w:val="en-US" w:eastAsia="zh-CN" w:bidi="ar-SA"/>
        </w:rPr>
        <w:t xml:space="preserve">（三）符合保障人身健康与生命财产安全、国家安全、生态环境安全的要求；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snapToGrid w:val="0"/>
          <w:kern w:val="0"/>
          <w:sz w:val="32"/>
          <w:szCs w:val="32"/>
          <w:lang w:val="en-US" w:eastAsia="zh-CN" w:bidi="ar-SA"/>
        </w:rPr>
      </w:pPr>
      <w:r>
        <w:rPr>
          <w:rFonts w:hint="default" w:ascii="仿宋_GB2312" w:hAnsi="仿宋_GB2312" w:eastAsia="仿宋_GB2312" w:cs="仿宋_GB2312"/>
          <w:b w:val="0"/>
          <w:snapToGrid w:val="0"/>
          <w:kern w:val="0"/>
          <w:sz w:val="32"/>
          <w:szCs w:val="32"/>
          <w:lang w:val="en-US" w:eastAsia="zh-CN" w:bidi="ar-SA"/>
        </w:rPr>
        <w:t xml:space="preserve">（四）优先支持符合经济发展方向，促进科学技术进步，提高产品质量和满足市场需求的项目；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 xml:space="preserve">（五）积极采用国际标准；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 xml:space="preserve">（六）协调统一、有序优化、技术先进、经济合理；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kern w:val="0"/>
          <w:sz w:val="32"/>
          <w:szCs w:val="32"/>
          <w:lang w:val="en-US" w:eastAsia="zh-CN"/>
        </w:rPr>
      </w:pPr>
      <w:r>
        <w:rPr>
          <w:rFonts w:hint="default" w:ascii="仿宋_GB2312" w:hAnsi="仿宋_GB2312" w:eastAsia="仿宋_GB2312" w:cs="仿宋_GB2312"/>
          <w:snapToGrid w:val="0"/>
          <w:kern w:val="0"/>
          <w:sz w:val="32"/>
          <w:szCs w:val="32"/>
          <w:lang w:val="en-US" w:eastAsia="zh-CN"/>
        </w:rPr>
        <w:t>（七）合法、公正、公开、公平。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p>
    <w:p>
      <w:pPr>
        <w:pStyle w:val="2"/>
        <w:bidi w:val="0"/>
        <w:jc w:val="both"/>
        <w:rPr>
          <w:rFonts w:hint="eastAsia"/>
          <w:b w:val="0"/>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157" w:afterLines="50" w:line="360" w:lineRule="auto"/>
        <w:jc w:val="center"/>
        <w:textAlignment w:val="auto"/>
        <w:rPr>
          <w:rFonts w:hint="eastAsia" w:ascii="黑体" w:hAnsi="黑体" w:eastAsia="黑体" w:cs="黑体"/>
          <w:b w:val="0"/>
          <w:lang w:val="en-US" w:eastAsia="zh-CN"/>
        </w:rPr>
      </w:pPr>
      <w:r>
        <w:rPr>
          <w:rFonts w:hint="eastAsia" w:ascii="黑体" w:hAnsi="黑体" w:eastAsia="黑体" w:cs="黑体"/>
          <w:b w:val="0"/>
          <w:lang w:val="en-US" w:eastAsia="zh-CN"/>
        </w:rPr>
        <w:t>第二章 申报流程</w:t>
      </w:r>
    </w:p>
    <w:p>
      <w:pPr>
        <w:spacing w:line="360" w:lineRule="auto"/>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lang w:val="en-US" w:eastAsia="zh-CN"/>
        </w:rPr>
        <w:t>第五条</w:t>
      </w:r>
      <w:r>
        <w:rPr>
          <w:rFonts w:hint="eastAsia" w:ascii="仿宋_GB2312" w:hAnsi="仿宋_GB2312" w:eastAsia="仿宋_GB2312" w:cs="仿宋_GB2312"/>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rPr>
        <w:t>流程简图</w:t>
      </w:r>
    </w:p>
    <w:p>
      <w:pPr>
        <w:numPr>
          <w:ilvl w:val="0"/>
          <w:numId w:val="0"/>
        </w:numPr>
        <w:ind w:leftChars="0"/>
        <w:jc w:val="center"/>
        <w:rPr>
          <w:rFonts w:hint="eastAsia" w:ascii="宋体" w:hAnsi="宋体" w:eastAsia="宋体" w:cs="宋体"/>
          <w:b/>
          <w:sz w:val="32"/>
          <w:szCs w:val="32"/>
          <w:lang w:eastAsia="zh-CN"/>
        </w:rPr>
      </w:pPr>
      <w:r>
        <w:rPr>
          <w:rFonts w:hint="eastAsia" w:ascii="仿宋" w:hAnsi="仿宋" w:eastAsia="仿宋" w:cs="仿宋"/>
          <w:b w:val="0"/>
          <w:bCs/>
          <w:sz w:val="28"/>
          <w:szCs w:val="28"/>
          <w:lang w:eastAsia="zh-CN"/>
        </w:rPr>
        <w:drawing>
          <wp:inline distT="0" distB="0" distL="114300" distR="114300">
            <wp:extent cx="5243830" cy="7041515"/>
            <wp:effectExtent l="0" t="0" r="0" b="0"/>
            <wp:docPr id="5" name="图片 5" descr="生产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生产流程图(2)"/>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5243830" cy="7041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第六条</w:t>
      </w:r>
      <w:r>
        <w:rPr>
          <w:rFonts w:hint="eastAsia" w:ascii="仿宋_GB2312" w:hAnsi="仿宋_GB2312" w:eastAsia="仿宋_GB2312" w:cs="仿宋_GB2312"/>
          <w:b w:val="0"/>
          <w:snapToGrid w:val="0"/>
          <w:kern w:val="0"/>
          <w:sz w:val="32"/>
          <w:szCs w:val="32"/>
          <w:lang w:val="en-US" w:eastAsia="zh-CN" w:bidi="ar-SA"/>
        </w:rPr>
        <w:t xml:space="preserve"> 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（一）申请单位提交“山西精品”认证申请表及相关资料；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（二）“山西精品</w:t>
      </w:r>
      <w:r>
        <w:rPr>
          <w:rFonts w:hint="default" w:ascii="仿宋_GB2312" w:hAnsi="仿宋_GB2312" w:eastAsia="仿宋_GB2312" w:cs="仿宋_GB2312"/>
          <w:b w:val="0"/>
          <w:snapToGrid w:val="0"/>
          <w:kern w:val="0"/>
          <w:sz w:val="32"/>
          <w:szCs w:val="32"/>
          <w:lang w:val="en-US" w:eastAsia="zh-CN" w:bidi="ar-SA"/>
        </w:rPr>
        <w:t>”</w:t>
      </w:r>
      <w:r>
        <w:rPr>
          <w:rFonts w:hint="eastAsia" w:ascii="仿宋_GB2312" w:hAnsi="仿宋_GB2312" w:eastAsia="仿宋_GB2312" w:cs="仿宋_GB2312"/>
          <w:b w:val="0"/>
          <w:snapToGrid w:val="0"/>
          <w:kern w:val="0"/>
          <w:sz w:val="32"/>
          <w:szCs w:val="32"/>
          <w:lang w:val="en-US" w:eastAsia="zh-CN" w:bidi="ar-SA"/>
        </w:rPr>
        <w:t>认证组进行资格预审，决定是否通过；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——材料齐全，通过并进入初审阶段；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——材料、技术要素未达要求的，经预审组审核通知申请单位补全材料，符合要求给予通过，补充后仍未达要求的不予通过；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——材料、技术未达要求，经认证组预审不予通过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对申请单位提供的资料齐全性、完整性进行形式审查，并给出审查意见。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（三）专家顾问团联合进行初评及制定团体标准；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（1）参照企业标准优先执行最高标准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（2）针对产品/服务制定相关标准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（3）遵循一品、一标、一工艺的原则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（四）第三方认证机构进行认证，并出具认证报告；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（1）产品认证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申请企业需按照特定产品认证的要求，将申请认证产品设计相关的主要图纸和技术文件提交给认证机构，认证机构审查确认设计及有关材料、制造、性能、使用等方面的规定是否满足标准的要求。必要时通过抽样检测试验以证明提供材料的准确性以及可信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（2）服务认证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通常采用服务管理审核（现场观察、询问及内外部相关文件记录资料的查阅）、服务特性指标数据测评、必要时暗访等方式实施文件评审和现场审查以及关注资格评价中反馈所需跟踪的问题。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认证机构出具认证报告及认证结论，将认证结论上报山西精品联合会。签订认证合同，接受联合会组织实施审核。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（3）出具证书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1）认证联盟下发证书编号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2）主管认证机构打印产品认证证书、盖章、签字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3）上报山西精品联合会进行发证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（五）“山西精品”有关部门将相关标准、认证报告汇总审核；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（六）通过网站将认证企业及其产品进行公示；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（七）发布公告；</w:t>
      </w:r>
    </w:p>
    <w:p>
      <w:pPr>
        <w:pStyle w:val="2"/>
        <w:keepNext/>
        <w:keepLines/>
        <w:pageBreakBefore w:val="0"/>
        <w:widowControl w:val="0"/>
        <w:kinsoku/>
        <w:wordWrap/>
        <w:overflowPunct/>
        <w:topLinePunct w:val="0"/>
        <w:autoSpaceDE/>
        <w:autoSpaceDN/>
        <w:bidi w:val="0"/>
        <w:adjustRightInd/>
        <w:snapToGrid/>
        <w:spacing w:before="240" w:after="90"/>
        <w:jc w:val="center"/>
        <w:textAlignment w:val="auto"/>
        <w:rPr>
          <w:rFonts w:hint="eastAsia" w:ascii="黑体" w:hAnsi="黑体" w:eastAsia="黑体" w:cs="黑体"/>
          <w:b w:val="0"/>
          <w:lang w:val="en-US" w:eastAsia="zh-CN"/>
        </w:rPr>
      </w:pPr>
      <w:r>
        <w:rPr>
          <w:rFonts w:hint="eastAsia" w:ascii="黑体" w:hAnsi="黑体" w:eastAsia="黑体" w:cs="黑体"/>
          <w:b w:val="0"/>
          <w:lang w:val="en-US" w:eastAsia="zh-CN"/>
        </w:rPr>
        <w:t>第三章 申报资料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 xml:space="preserve">第七条 </w:t>
      </w:r>
      <w:r>
        <w:rPr>
          <w:rFonts w:hint="eastAsia" w:ascii="仿宋_GB2312" w:hAnsi="仿宋_GB2312" w:eastAsia="仿宋_GB2312" w:cs="仿宋_GB2312"/>
          <w:b w:val="0"/>
          <w:snapToGrid w:val="0"/>
          <w:kern w:val="0"/>
          <w:sz w:val="32"/>
          <w:szCs w:val="32"/>
          <w:lang w:val="en-US" w:eastAsia="zh-CN" w:bidi="ar-SA"/>
        </w:rPr>
        <w:t>“山西精品”认证所需提报的有关材料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（一）“山西精品”认证申请表（见附件）；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（二）认证单位营业执照副本复印件（如申请方、制造商与生产厂不同，应分别提供）等其他行政许可性文件，申请方、制造商与生产厂不同时，需提交订立的相关协议/合同副本；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（三）申报产品及相关注册商标证明复印件；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（四）产品执行标准、合法资质（如：产品生产许可证、CCC等）、参与标准起草（国标、行标、地标、团标、企业标）（如有）；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（五）产品、管理相关的创新内容；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（六）产品近期质量检验报告（适用时）、产品实现工艺流程（适用时）；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（七）省级以上的企业技术中心或设计中心或研究院的证明（适用时）；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（八）核心产品、服务及管理的相关专利；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（九）企业所参加的国际、国内的知名展会，及所获省市级奖项（如有）；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val="0"/>
          <w:kern w:val="0"/>
          <w:sz w:val="32"/>
          <w:szCs w:val="32"/>
          <w:lang w:val="en-US" w:eastAsia="zh-CN" w:bidi="ar-SA"/>
        </w:rPr>
      </w:pPr>
      <w:r>
        <w:rPr>
          <w:rFonts w:hint="eastAsia" w:ascii="仿宋_GB2312" w:hAnsi="仿宋_GB2312" w:eastAsia="仿宋_GB2312" w:cs="仿宋_GB2312"/>
          <w:b w:val="0"/>
          <w:snapToGrid w:val="0"/>
          <w:kern w:val="0"/>
          <w:sz w:val="32"/>
          <w:szCs w:val="32"/>
          <w:lang w:val="en-US" w:eastAsia="zh-CN" w:bidi="ar-SA"/>
        </w:rPr>
        <w:t>（十）质量诚信报告、社会责任报告、环境和职业健康安全管理体系认证证书及手册和程序等体系文件。</w:t>
      </w:r>
    </w:p>
    <w:p>
      <w:pPr>
        <w:ind w:firstLine="640" w:firstLineChars="200"/>
        <w:rPr>
          <w:rFonts w:hint="eastAsia" w:ascii="仿宋_GB2312" w:hAnsi="仿宋_GB2312" w:eastAsia="仿宋_GB2312" w:cs="仿宋_GB2312"/>
          <w:b w:val="0"/>
          <w:snapToGrid w:val="0"/>
          <w:kern w:val="0"/>
          <w:sz w:val="32"/>
          <w:szCs w:val="32"/>
          <w:lang w:val="en-US" w:eastAsia="zh-CN" w:bidi="ar-SA"/>
        </w:rPr>
      </w:pPr>
    </w:p>
    <w:p>
      <w:pPr>
        <w:rPr>
          <w:rFonts w:hint="eastAsia" w:ascii="仿宋_GB2312" w:hAnsi="仿宋_GB2312" w:eastAsia="仿宋_GB2312" w:cs="仿宋_GB2312"/>
          <w:b w:val="0"/>
          <w:snapToGrid w:val="0"/>
          <w:kern w:val="0"/>
          <w:sz w:val="32"/>
          <w:szCs w:val="32"/>
          <w:lang w:val="en-US" w:eastAsia="zh-CN" w:bidi="ar-SA"/>
        </w:rPr>
      </w:pPr>
    </w:p>
    <w:p>
      <w:pPr>
        <w:ind w:firstLine="640" w:firstLineChars="200"/>
        <w:jc w:val="left"/>
        <w:rPr>
          <w:rFonts w:hint="eastAsia" w:ascii="仿宋_GB2312" w:hAnsi="仿宋_GB2312" w:eastAsia="仿宋_GB2312" w:cs="仿宋_GB2312"/>
          <w:b w:val="0"/>
          <w:snapToGrid w:val="0"/>
          <w:kern w:val="0"/>
          <w:sz w:val="32"/>
          <w:szCs w:val="32"/>
          <w:lang w:val="en-US" w:eastAsia="zh-CN" w:bidi="ar-SA"/>
        </w:rPr>
        <w:sectPr>
          <w:pgSz w:w="11906" w:h="16838"/>
          <w:pgMar w:top="2098" w:right="1474" w:bottom="1984" w:left="1587" w:header="851" w:footer="992" w:gutter="0"/>
          <w:pgNumType w:fmt="numberInDash"/>
          <w:cols w:space="425" w:num="1"/>
          <w:docGrid w:type="lines" w:linePitch="312" w:charSpace="0"/>
        </w:sectPr>
      </w:pPr>
    </w:p>
    <w:tbl>
      <w:tblPr>
        <w:tblStyle w:val="8"/>
        <w:tblpPr w:leftFromText="180" w:rightFromText="180" w:vertAnchor="page" w:horzAnchor="page" w:tblpX="1827" w:tblpY="2118"/>
        <w:tblOverlap w:val="never"/>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jc w:val="center"/>
              <w:rPr>
                <w:rFonts w:ascii="仿宋" w:hAnsi="仿宋" w:eastAsia="仿宋" w:cs="仿宋"/>
                <w:b/>
                <w:sz w:val="32"/>
                <w:szCs w:val="32"/>
              </w:rPr>
            </w:pPr>
            <w:r>
              <w:rPr>
                <w:rFonts w:hint="eastAsia" w:ascii="仿宋" w:hAnsi="仿宋" w:eastAsia="仿宋" w:cs="仿宋"/>
                <w:b/>
                <w:sz w:val="32"/>
                <w:szCs w:val="32"/>
              </w:rPr>
              <w:t>“山西精品”认证申请表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pStyle w:val="10"/>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left"/>
              <w:textAlignment w:val="auto"/>
              <w:rPr>
                <w:rFonts w:ascii="仿宋" w:hAnsi="仿宋" w:eastAsia="仿宋" w:cs="仿宋"/>
                <w:b/>
                <w:sz w:val="28"/>
                <w:szCs w:val="28"/>
              </w:rPr>
            </w:pPr>
            <w:r>
              <w:rPr>
                <w:rFonts w:ascii="仿宋" w:hAnsi="仿宋" w:eastAsia="仿宋" w:cs="仿宋"/>
                <w:b/>
                <w:sz w:val="28"/>
                <w:szCs w:val="28"/>
              </w:rPr>
              <w:t>申报企业概述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5000" w:type="pct"/>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pStyle w:val="10"/>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Chars="0"/>
              <w:jc w:val="left"/>
              <w:textAlignment w:val="auto"/>
              <w:rPr>
                <w:rFonts w:ascii="仿宋" w:hAnsi="仿宋" w:eastAsia="仿宋" w:cs="仿宋"/>
                <w:b/>
                <w:sz w:val="28"/>
                <w:szCs w:val="28"/>
              </w:rPr>
            </w:pPr>
            <w:r>
              <w:rPr>
                <w:rFonts w:ascii="仿宋" w:hAnsi="仿宋" w:eastAsia="仿宋" w:cs="仿宋"/>
                <w:b/>
                <w:sz w:val="28"/>
                <w:szCs w:val="28"/>
              </w:rPr>
              <w:t>产品先进性分析</w:t>
            </w:r>
            <w:r>
              <w:rPr>
                <w:rFonts w:hint="eastAsia" w:ascii="仿宋" w:hAnsi="仿宋" w:eastAsia="仿宋" w:cs="仿宋"/>
                <w:b/>
                <w:sz w:val="28"/>
                <w:szCs w:val="28"/>
              </w:rPr>
              <w:t>（可附页）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产业发展性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形态集约性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执行标准性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制造品质性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行业生态性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发展持续性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商务经济性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价值前瞻性</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社会效应性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jc w:val="left"/>
              <w:textAlignment w:val="auto"/>
              <w:rPr>
                <w:rFonts w:ascii="仿宋" w:hAnsi="仿宋" w:eastAsia="仿宋" w:cs="仿宋"/>
                <w:sz w:val="24"/>
                <w:szCs w:val="24"/>
              </w:rPr>
            </w:pPr>
            <w:r>
              <w:rPr>
                <w:rFonts w:ascii="仿宋" w:hAnsi="仿宋" w:eastAsia="仿宋" w:cs="仿宋"/>
                <w:sz w:val="28"/>
                <w:szCs w:val="28"/>
              </w:rPr>
              <w:t>选择符合申报产品的几个方面进行分析</w:t>
            </w:r>
            <w:r>
              <w:rPr>
                <w:rFonts w:hint="eastAsia" w:ascii="仿宋" w:hAnsi="仿宋" w:eastAsia="仿宋" w:cs="仿宋"/>
                <w:sz w:val="28"/>
                <w:szCs w:val="28"/>
              </w:rPr>
              <w:t>，</w:t>
            </w:r>
            <w:r>
              <w:rPr>
                <w:rFonts w:ascii="仿宋" w:hAnsi="仿宋" w:eastAsia="仿宋" w:cs="仿宋"/>
                <w:sz w:val="28"/>
                <w:szCs w:val="28"/>
              </w:rPr>
              <w:t>提交相关材料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sz w:val="28"/>
                <w:szCs w:val="28"/>
              </w:rPr>
            </w:pPr>
            <w:r>
              <w:rPr>
                <w:rFonts w:ascii="仿宋" w:hAnsi="仿宋" w:eastAsia="仿宋" w:cs="仿宋"/>
                <w:b/>
                <w:sz w:val="28"/>
                <w:szCs w:val="28"/>
              </w:rPr>
              <w:t>三</w:t>
            </w:r>
            <w:r>
              <w:rPr>
                <w:rFonts w:hint="eastAsia" w:ascii="仿宋" w:hAnsi="仿宋" w:eastAsia="仿宋" w:cs="仿宋"/>
                <w:b/>
                <w:sz w:val="28"/>
                <w:szCs w:val="28"/>
              </w:rPr>
              <w:t>、申请单位意见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3" w:hRule="atLeast"/>
        </w:trPr>
        <w:tc>
          <w:tcPr>
            <w:tcW w:w="5000" w:type="pct"/>
          </w:tcPr>
          <w:p>
            <w:pPr>
              <w:keepNext w:val="0"/>
              <w:keepLines w:val="0"/>
              <w:pageBreakBefore w:val="0"/>
              <w:widowControl w:val="0"/>
              <w:kinsoku/>
              <w:wordWrap/>
              <w:overflowPunct/>
              <w:topLinePunct w:val="0"/>
              <w:autoSpaceDE/>
              <w:autoSpaceDN/>
              <w:bidi w:val="0"/>
              <w:adjustRightInd/>
              <w:snapToGrid/>
              <w:spacing w:before="157" w:beforeLines="50" w:line="440" w:lineRule="exact"/>
              <w:jc w:val="left"/>
              <w:textAlignment w:val="auto"/>
              <w:rPr>
                <w:rFonts w:hint="eastAsia" w:ascii="仿宋" w:hAnsi="仿宋" w:eastAsia="仿宋" w:cs="仿宋"/>
                <w:sz w:val="10"/>
                <w:szCs w:val="10"/>
              </w:rPr>
            </w:pPr>
            <w:r>
              <w:rPr>
                <w:rFonts w:hint="eastAsia" w:ascii="仿宋" w:hAnsi="仿宋" w:eastAsia="仿宋" w:cs="仿宋"/>
                <w:sz w:val="24"/>
                <w:szCs w:val="24"/>
              </w:rPr>
              <w:t xml:space="preserve">   </w:t>
            </w:r>
            <w:r>
              <w:rPr>
                <w:rFonts w:hint="eastAsia" w:ascii="仿宋" w:hAnsi="仿宋" w:eastAsia="仿宋" w:cs="仿宋"/>
                <w:sz w:val="28"/>
                <w:szCs w:val="28"/>
              </w:rPr>
              <w:t>本单位自愿申请“山西精品”区域公用品牌，承诺本次提报的相关数据、信息均真实有效，如有违反，愿意承担相应责任。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单位负责人签字：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                                       （申报单位公章）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3" w:hRule="atLeast"/>
        </w:trPr>
        <w:tc>
          <w:tcPr>
            <w:tcW w:w="5000" w:type="pct"/>
          </w:tcPr>
          <w:p>
            <w:pPr>
              <w:jc w:val="left"/>
              <w:rPr>
                <w:rFonts w:ascii="仿宋" w:hAnsi="仿宋" w:eastAsia="仿宋" w:cs="仿宋"/>
                <w:b/>
                <w:sz w:val="28"/>
                <w:szCs w:val="28"/>
              </w:rPr>
            </w:pPr>
            <w:r>
              <w:rPr>
                <w:rFonts w:ascii="仿宋" w:hAnsi="仿宋" w:eastAsia="仿宋" w:cs="仿宋"/>
                <w:b/>
                <w:sz w:val="28"/>
                <w:szCs w:val="28"/>
              </w:rPr>
              <w:t>四</w:t>
            </w:r>
            <w:r>
              <w:rPr>
                <w:rFonts w:hint="eastAsia" w:ascii="仿宋" w:hAnsi="仿宋" w:eastAsia="仿宋" w:cs="仿宋"/>
                <w:b/>
                <w:sz w:val="28"/>
                <w:szCs w:val="28"/>
              </w:rPr>
              <w:t>、</w:t>
            </w:r>
            <w:r>
              <w:rPr>
                <w:rFonts w:ascii="仿宋" w:hAnsi="仿宋" w:eastAsia="仿宋" w:cs="仿宋"/>
                <w:b/>
                <w:sz w:val="28"/>
                <w:szCs w:val="28"/>
              </w:rPr>
              <w:t>受理机构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9" w:hRule="atLeast"/>
        </w:trPr>
        <w:tc>
          <w:tcPr>
            <w:tcW w:w="5000" w:type="pct"/>
          </w:tcPr>
          <w:p>
            <w:pPr>
              <w:keepNext w:val="0"/>
              <w:keepLines w:val="0"/>
              <w:pageBreakBefore w:val="0"/>
              <w:widowControl w:val="0"/>
              <w:kinsoku/>
              <w:wordWrap/>
              <w:overflowPunct/>
              <w:topLinePunct w:val="0"/>
              <w:autoSpaceDE/>
              <w:autoSpaceDN/>
              <w:bidi w:val="0"/>
              <w:adjustRightInd/>
              <w:snapToGrid/>
              <w:spacing w:before="157" w:beforeLines="50" w:line="440" w:lineRule="exact"/>
              <w:jc w:val="left"/>
              <w:textAlignment w:val="auto"/>
              <w:rPr>
                <w:rFonts w:hint="eastAsia" w:ascii="仿宋" w:hAnsi="仿宋" w:eastAsia="仿宋" w:cs="仿宋"/>
                <w:sz w:val="21"/>
                <w:szCs w:val="21"/>
              </w:rPr>
            </w:pPr>
            <w:r>
              <w:rPr>
                <w:rFonts w:hint="eastAsia" w:ascii="仿宋" w:hAnsi="仿宋" w:eastAsia="仿宋" w:cs="仿宋"/>
                <w:sz w:val="32"/>
                <w:szCs w:val="32"/>
              </w:rPr>
              <w:t xml:space="preserve">   </w:t>
            </w:r>
            <w:r>
              <w:rPr>
                <w:rFonts w:hint="eastAsia" w:ascii="仿宋" w:hAnsi="仿宋" w:eastAsia="仿宋" w:cs="仿宋"/>
                <w:sz w:val="28"/>
                <w:szCs w:val="28"/>
              </w:rPr>
              <w:t>经对你单位的材料评审，决定予以受理。</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“山西精品”评价小组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经办人：</w:t>
            </w:r>
          </w:p>
          <w:p>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ascii="仿宋" w:hAnsi="仿宋" w:eastAsia="仿宋" w:cs="仿宋"/>
                <w:sz w:val="24"/>
                <w:szCs w:val="24"/>
              </w:rPr>
            </w:pPr>
            <w:r>
              <w:rPr>
                <w:rFonts w:hint="eastAsia" w:ascii="仿宋" w:hAnsi="仿宋" w:eastAsia="仿宋" w:cs="仿宋"/>
                <w:sz w:val="28"/>
                <w:szCs w:val="28"/>
              </w:rPr>
              <w:t xml:space="preserve">                                          </w:t>
            </w:r>
            <w:r>
              <w:rPr>
                <w:rFonts w:hint="eastAsia" w:ascii="仿宋" w:hAnsi="仿宋" w:cs="仿宋"/>
                <w:sz w:val="28"/>
                <w:szCs w:val="28"/>
                <w:lang w:val="en-US" w:eastAsia="zh-CN"/>
              </w:rPr>
              <w:t xml:space="preserve">   </w:t>
            </w:r>
            <w:r>
              <w:rPr>
                <w:rFonts w:hint="eastAsia" w:ascii="仿宋" w:hAnsi="仿宋" w:eastAsia="仿宋" w:cs="仿宋"/>
                <w:sz w:val="28"/>
                <w:szCs w:val="28"/>
              </w:rPr>
              <w:t xml:space="preserve">年   月   日  </w:t>
            </w:r>
          </w:p>
        </w:tc>
      </w:tr>
    </w:tbl>
    <w:p>
      <w:r>
        <w:rPr>
          <w:rFonts w:hint="eastAsia" w:ascii="仿宋_GB2312" w:hAnsi="仿宋_GB2312" w:eastAsia="仿宋_GB2312" w:cs="仿宋_GB2312"/>
          <w:sz w:val="28"/>
          <w:szCs w:val="21"/>
          <w:lang w:val="en-US" w:eastAsia="zh-CN"/>
        </w:rPr>
        <w:t>附件：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43299"/>
    <w:multiLevelType w:val="multilevel"/>
    <w:tmpl w:val="3EB4329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4F0062"/>
    <w:multiLevelType w:val="multilevel"/>
    <w:tmpl w:val="604F0062"/>
    <w:lvl w:ilvl="0" w:tentative="0">
      <w:start w:val="1"/>
      <w:numFmt w:val="decimal"/>
      <w:lvlText w:val="（%1）"/>
      <w:lvlJc w:val="left"/>
      <w:pPr>
        <w:ind w:left="720" w:hanging="720"/>
      </w:pPr>
      <w:rPr>
        <w:rFonts w:hint="default" w:ascii="仿宋" w:hAnsi="仿宋" w:eastAsia="仿宋"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zlkZmRkYmY1MDI0MmE4NTQ2M2RkMDFmNzVhMjMifQ=="/>
    <w:docVar w:name="KSO_WPS_MARK_KEY" w:val="d2d95a1c-cd93-4e8b-a2c7-0a4d2e5130da"/>
  </w:docVars>
  <w:rsids>
    <w:rsidRoot w:val="59EE0EA7"/>
    <w:rsid w:val="59EE0EA7"/>
    <w:rsid w:val="6DF2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2"/>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宋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ind w:left="600"/>
    </w:pPr>
    <w:rPr>
      <w:rFonts w:ascii="仿宋" w:hAnsi="仿宋" w:eastAsia="仿宋" w:cs="仿宋"/>
      <w:sz w:val="28"/>
      <w:szCs w:val="28"/>
      <w:lang w:val="zh-CN" w:eastAsia="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1768</Words>
  <Characters>1770</Characters>
  <Lines>0</Lines>
  <Paragraphs>0</Paragraphs>
  <TotalTime>7</TotalTime>
  <ScaleCrop>false</ScaleCrop>
  <LinksUpToDate>false</LinksUpToDate>
  <CharactersWithSpaces>2080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2023-02-14T07:58:00Z</dcterms:created>
  <dc:creator>郭鑫</dc:creator>
  <cp:lastModifiedBy>郭鑫</cp:lastModifiedBy>
  <dcterms:modified xsi:type="dcterms:W3CDTF">2023-02-14T08:11:06Z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8FCF85B95A294525A3FA1273DB283C99</vt:lpwstr>
  </property>
</Properties>
</file>