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27" w:tblpY="2118"/>
        <w:tblOverlap w:val="never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“山西精品”认证申请表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jc w:val="left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申报企业概述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jc w:val="left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产品先进性分析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产业发展性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形态集约性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执行标准性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制造品质性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行业生态性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发展持续性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商务经济性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价值前瞻性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社会效应性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15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选择符合申报产品的几个方面进行分析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z w:val="28"/>
                <w:szCs w:val="28"/>
              </w:rPr>
              <w:t>提交相关材料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、申请单位意见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本单位自愿申请“山西精品”区域公用品牌，承诺本次提报的相关数据、信息均真实有效，如有违反，愿意承担相应责任。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18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（申报单位公章）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00" w:type="pct"/>
          </w:tcPr>
          <w:p>
            <w:pPr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四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受理机构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经对你单位的材料评审，决定予以受理。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“山西精品”评价小组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40" w:lineRule="exact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  日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附件3：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43299"/>
    <w:multiLevelType w:val="multilevel"/>
    <w:tmpl w:val="3EB4329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4F0062"/>
    <w:multiLevelType w:val="multilevel"/>
    <w:tmpl w:val="604F006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MzlkZmRkYmY1MDI0MmE4NTQ2M2RkMDFmNzVhMjMifQ=="/>
    <w:docVar w:name="KSO_WPS_MARK_KEY" w:val="4259ca02-f16e-4276-a1e1-82cb15a27cb7"/>
  </w:docVars>
  <w:rsids>
    <w:rsidRoot w:val="535A26D0"/>
    <w:rsid w:val="535A26D0"/>
    <w:rsid w:val="7685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3</TotalTime>
  <ScaleCrop>false</ScaleCrop>
  <LinksUpToDate>false</LinksUpToDate>
  <CharactersWithSpaces>524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2023-02-06T07:14:00Z</dcterms:created>
  <dc:creator>郭鑫</dc:creator>
  <cp:lastModifiedBy>郭鑫</cp:lastModifiedBy>
  <cp:lastPrinted>2023-02-14T03:31:31Z</cp:lastPrinted>
  <dcterms:modified xsi:type="dcterms:W3CDTF">2023-02-14T03:34:44Z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13E4C9F0B4EC4519ACD388B62731A12F</vt:lpwstr>
  </property>
</Properties>
</file>