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="226" w:afterAutospacing="0" w:line="560" w:lineRule="atLeast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山西转型综合改革示范区</w:t>
      </w:r>
    </w:p>
    <w:p>
      <w:pPr>
        <w:pStyle w:val="8"/>
        <w:widowControl/>
        <w:spacing w:beforeAutospacing="0" w:after="226" w:afterAutospacing="0" w:line="560" w:lineRule="atLeast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44"/>
          <w:szCs w:val="44"/>
          <w:shd w:val="clear" w:color="auto" w:fill="FFFFFF"/>
        </w:rPr>
        <w:t>促进数字经济招商引资奖励办法</w:t>
      </w:r>
    </w:p>
    <w:p>
      <w:pPr>
        <w:pStyle w:val="8"/>
        <w:widowControl/>
        <w:spacing w:beforeAutospacing="0" w:after="226" w:afterAutospacing="0" w:line="560" w:lineRule="atLeast"/>
        <w:ind w:firstLine="3012" w:firstLineChars="1000"/>
        <w:jc w:val="both"/>
        <w:rPr>
          <w:rFonts w:ascii="楷体" w:hAnsi="楷体" w:eastAsia="楷体" w:cs="楷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sz w:val="30"/>
          <w:szCs w:val="30"/>
          <w:shd w:val="clear" w:color="auto" w:fill="FFFFFF"/>
        </w:rPr>
        <w:t>（征求意见稿）</w:t>
      </w:r>
    </w:p>
    <w:p>
      <w:pPr>
        <w:numPr>
          <w:ilvl w:val="0"/>
          <w:numId w:val="1"/>
        </w:numPr>
        <w:spacing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总  则</w:t>
      </w:r>
    </w:p>
    <w:p>
      <w:pPr>
        <w:pStyle w:val="4"/>
      </w:pPr>
    </w:p>
    <w:p>
      <w:pPr>
        <w:pStyle w:val="8"/>
        <w:widowControl/>
        <w:spacing w:beforeAutospacing="0" w:after="226" w:afterAutospacing="0" w:line="560" w:lineRule="atLeast"/>
        <w:ind w:firstLine="640"/>
        <w:jc w:val="both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第一条  为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贯彻落实《山西省加快推进数字经济发展的实施意见和若干政策》、《山西省关于数字经济高质量发展的实施意见》、《山西省数字经济促进条例》，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促进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山西转型综改示范区（以下简称“综改示范区”）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数字经济产业招大引强，培育一批具有国际国内影响力的龙头企业，促进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综改示范区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数字经济高质量、集聚化发展，结合实际，制定本办法。</w:t>
      </w:r>
    </w:p>
    <w:p>
      <w:pPr>
        <w:pStyle w:val="8"/>
        <w:widowControl/>
        <w:spacing w:beforeAutospacing="0" w:afterAutospacing="0" w:line="600" w:lineRule="exact"/>
        <w:ind w:firstLine="600" w:firstLineChars="200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第二条 本办法重点支持属于《数字经济及其核心产业统计分类(2021)》（国家统计局令第33号)中数字产品制造业、数字产品服务业、数字技术应用业、数字要素驱动业领域的重点企业和新投资项目。</w:t>
      </w: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支</w:t>
      </w:r>
      <w:r>
        <w:rPr>
          <w:rFonts w:hint="eastAsia" w:ascii="黑体" w:hAnsi="黑体" w:eastAsia="黑体"/>
          <w:sz w:val="32"/>
          <w:szCs w:val="32"/>
        </w:rPr>
        <w:t>持数字经济</w:t>
      </w:r>
      <w:r>
        <w:rPr>
          <w:rFonts w:hint="eastAsia" w:ascii="黑体" w:hAnsi="黑体" w:eastAsia="黑体"/>
          <w:sz w:val="32"/>
          <w:szCs w:val="32"/>
          <w:u w:val="none"/>
        </w:rPr>
        <w:t>重点</w:t>
      </w:r>
      <w:r>
        <w:rPr>
          <w:rFonts w:hint="eastAsia" w:ascii="黑体" w:hAnsi="黑体" w:eastAsia="黑体"/>
          <w:sz w:val="32"/>
          <w:szCs w:val="32"/>
        </w:rPr>
        <w:t>企业集聚</w:t>
      </w:r>
    </w:p>
    <w:p>
      <w:pPr>
        <w:pStyle w:val="4"/>
      </w:pPr>
    </w:p>
    <w:p>
      <w:pPr>
        <w:pStyle w:val="8"/>
        <w:widowControl/>
        <w:numPr>
          <w:ilvl w:val="0"/>
          <w:numId w:val="2"/>
        </w:numPr>
        <w:spacing w:beforeAutospacing="0" w:after="226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国内外知名企业在综改示范区设立的企业总部（含研发总部和区域总部），获得的全国电子信息百强、软件百强、互联网百强等数字技术企业，给予一次性奖补200万元。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按照实收资本额度给予补助，其中政策期内实收资本1亿元（含）-10亿元人民币的，按照实收资本的1%给予补助；实收资本10亿元（含）以上，按照实收资本的1%计算补助，但最高补助1000万元。</w:t>
      </w:r>
    </w:p>
    <w:p>
      <w:pPr>
        <w:pStyle w:val="8"/>
        <w:widowControl/>
        <w:numPr>
          <w:ilvl w:val="255"/>
          <w:numId w:val="0"/>
        </w:numPr>
        <w:spacing w:beforeAutospacing="0" w:after="226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第四条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数字经济企业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落户综改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示范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，首年运营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营业收入达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000万元以上的，可对企业当年的办公场地实际租金予以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元/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平方米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，每年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每个企业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最高补贴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00万元，补贴期限为两年。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第五条 </w:t>
      </w:r>
      <w:r>
        <w:rPr>
          <w:rFonts w:hint="eastAsia" w:ascii="仿宋" w:hAnsi="仿宋" w:eastAsia="仿宋" w:cs="仿宋"/>
          <w:sz w:val="30"/>
          <w:szCs w:val="30"/>
        </w:rPr>
        <w:t>对投资额大、带动力强、科技含量高、税收贡献大的重大项目，特别是世界</w:t>
      </w:r>
      <w:r>
        <w:rPr>
          <w:rFonts w:ascii="仿宋" w:hAnsi="仿宋" w:eastAsia="仿宋" w:cs="仿宋"/>
          <w:sz w:val="30"/>
          <w:szCs w:val="30"/>
        </w:rPr>
        <w:t>500强、中国500强、中国民营500强</w:t>
      </w:r>
      <w:bookmarkStart w:id="0" w:name="_GoBack"/>
      <w:bookmarkEnd w:id="0"/>
      <w:r>
        <w:rPr>
          <w:rFonts w:ascii="仿宋" w:hAnsi="仿宋" w:eastAsia="仿宋" w:cs="仿宋"/>
          <w:sz w:val="30"/>
          <w:szCs w:val="30"/>
        </w:rPr>
        <w:t>企业投资的</w:t>
      </w:r>
      <w:r>
        <w:rPr>
          <w:rFonts w:ascii="仿宋" w:hAnsi="仿宋" w:eastAsia="仿宋" w:cs="仿宋"/>
          <w:sz w:val="30"/>
          <w:szCs w:val="30"/>
          <w:u w:val="none"/>
        </w:rPr>
        <w:t>项目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管委会</w:t>
      </w:r>
      <w:r>
        <w:rPr>
          <w:rFonts w:hint="eastAsia" w:ascii="仿宋" w:hAnsi="仿宋" w:eastAsia="仿宋" w:cs="仿宋"/>
          <w:sz w:val="30"/>
          <w:szCs w:val="30"/>
        </w:rPr>
        <w:t>审定，</w:t>
      </w:r>
      <w:r>
        <w:rPr>
          <w:rFonts w:ascii="仿宋" w:hAnsi="仿宋" w:eastAsia="仿宋" w:cs="仿宋"/>
          <w:sz w:val="30"/>
          <w:szCs w:val="30"/>
        </w:rPr>
        <w:t>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照</w:t>
      </w:r>
      <w:r>
        <w:rPr>
          <w:rFonts w:ascii="仿宋" w:hAnsi="仿宋" w:eastAsia="仿宋" w:cs="仿宋"/>
          <w:sz w:val="30"/>
          <w:szCs w:val="30"/>
        </w:rPr>
        <w:t>“一</w:t>
      </w:r>
      <w:r>
        <w:rPr>
          <w:rFonts w:hint="eastAsia" w:ascii="仿宋" w:hAnsi="仿宋" w:eastAsia="仿宋" w:cs="仿宋"/>
          <w:sz w:val="30"/>
          <w:szCs w:val="30"/>
        </w:rPr>
        <w:t>事</w:t>
      </w:r>
      <w:r>
        <w:rPr>
          <w:rFonts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议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进行支</w:t>
      </w:r>
      <w:r>
        <w:rPr>
          <w:rFonts w:ascii="仿宋" w:hAnsi="仿宋" w:eastAsia="仿宋" w:cs="仿宋"/>
          <w:sz w:val="30"/>
          <w:szCs w:val="30"/>
        </w:rPr>
        <w:t>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8"/>
        <w:widowControl/>
        <w:spacing w:beforeAutospacing="0" w:afterAutospacing="0" w:line="600" w:lineRule="exact"/>
        <w:ind w:firstLine="1600" w:firstLineChars="5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 建设数字经济特色园区</w:t>
      </w:r>
    </w:p>
    <w:p>
      <w:pPr>
        <w:pStyle w:val="8"/>
        <w:widowControl/>
        <w:spacing w:line="60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第六条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鼓励数字经济核心产业龙头企业运营数字经济特色产业园区，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入驻园区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使用面积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达到60%以上且园区企业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在综改示范区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纳税总额不低于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000万元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，可按照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第一年留区部分的9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%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第二年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留区部分的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0%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第三年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留区部分的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0%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给予支持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pStyle w:val="8"/>
        <w:widowControl/>
        <w:spacing w:beforeAutospacing="0" w:after="226" w:afterAutospacing="0" w:line="560" w:lineRule="atLeast"/>
        <w:ind w:firstLine="64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七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条 支持园区运营机构设立数字经济专项基金，与综改示范区平台公司共同打造投融资平台，用于数字经济优质企业引进和孵化。</w:t>
      </w:r>
    </w:p>
    <w:p>
      <w:pPr>
        <w:pStyle w:val="8"/>
        <w:widowControl/>
        <w:spacing w:beforeAutospacing="0" w:after="226" w:afterAutospacing="0" w:line="560" w:lineRule="atLeast"/>
        <w:ind w:firstLine="640"/>
        <w:jc w:val="both"/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第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条 支持园区运营机构联合行业协会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专业机构在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综改示范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区举办数字经济领域行业大赛、产业大会、论坛等活动，经管委会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审定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，按照活动费用的50%予以补贴，每场最高不超过50万，每个运营机构每年最多申报2次。</w:t>
      </w:r>
    </w:p>
    <w:p>
      <w:pPr>
        <w:pStyle w:val="8"/>
        <w:widowControl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8"/>
        <w:widowControl/>
        <w:numPr>
          <w:ilvl w:val="255"/>
          <w:numId w:val="0"/>
        </w:numPr>
        <w:spacing w:beforeAutospacing="0" w:after="226" w:afterAutospacing="0" w:line="560" w:lineRule="atLeast"/>
        <w:ind w:firstLine="1600" w:firstLineChars="5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第四章 促进数字经济企业高质量发展</w:t>
      </w:r>
    </w:p>
    <w:p>
      <w:pPr>
        <w:pStyle w:val="4"/>
      </w:pPr>
    </w:p>
    <w:p>
      <w:pPr>
        <w:widowControl/>
        <w:numPr>
          <w:ilvl w:val="0"/>
          <w:numId w:val="3"/>
        </w:numPr>
        <w:ind w:firstLine="600" w:firstLineChars="20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数字经济企业自成立起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，首次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实现年主营业务收入3000万元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以上，按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主营业务收入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给予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支持，最高不超过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200万元。</w:t>
      </w:r>
    </w:p>
    <w:p>
      <w:pPr>
        <w:widowControl/>
        <w:numPr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第十条 支持区内数字经济企业投资建设产业研发平台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u w:val="none"/>
        </w:rPr>
        <w:t>经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管委会</w:t>
      </w:r>
      <w:r>
        <w:rPr>
          <w:rFonts w:hint="eastAsia" w:ascii="仿宋" w:hAnsi="仿宋" w:eastAsia="仿宋" w:cs="仿宋"/>
          <w:sz w:val="30"/>
          <w:szCs w:val="30"/>
          <w:u w:val="none"/>
        </w:rPr>
        <w:t>认定</w:t>
      </w:r>
      <w:r>
        <w:rPr>
          <w:rFonts w:hint="eastAsia" w:ascii="仿宋" w:hAnsi="仿宋" w:eastAsia="仿宋" w:cs="仿宋"/>
          <w:sz w:val="30"/>
          <w:szCs w:val="30"/>
        </w:rPr>
        <w:t>，可根据项目投资，对获得国家级、省级研发平台、省级实验室认定的，按照</w:t>
      </w:r>
      <w:r>
        <w:rPr>
          <w:rFonts w:hint="eastAsia" w:ascii="仿宋" w:hAnsi="仿宋" w:eastAsia="仿宋" w:cs="仿宋"/>
          <w:sz w:val="30"/>
          <w:szCs w:val="30"/>
          <w:u w:val="none"/>
        </w:rPr>
        <w:t>《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山西转型综合改革示范区促进企业</w:t>
      </w:r>
      <w:r>
        <w:rPr>
          <w:rFonts w:hint="eastAsia" w:ascii="仿宋" w:hAnsi="仿宋" w:eastAsia="仿宋" w:cs="仿宋"/>
          <w:sz w:val="30"/>
          <w:szCs w:val="30"/>
          <w:u w:val="none"/>
        </w:rPr>
        <w:t>自主创新办法》</w:t>
      </w:r>
      <w:r>
        <w:rPr>
          <w:rFonts w:hint="eastAsia" w:ascii="仿宋" w:hAnsi="仿宋" w:eastAsia="仿宋" w:cs="仿宋"/>
          <w:sz w:val="30"/>
          <w:szCs w:val="30"/>
        </w:rPr>
        <w:t>的规定予以奖励。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条  数字经济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首次入统、获批高新技术企业、省级“专精特新”中小企业、省级专精特新“小巨人”企业、国家级专精特新“小巨人”企业、“制造业单项冠军示范企业”“单项冠军产品”企业等，按照</w:t>
      </w:r>
      <w:r>
        <w:rPr>
          <w:rFonts w:hint="eastAsia" w:ascii="仿宋" w:hAnsi="仿宋" w:eastAsia="仿宋" w:cs="仿宋"/>
          <w:sz w:val="30"/>
          <w:szCs w:val="30"/>
          <w:u w:val="none"/>
        </w:rPr>
        <w:t>《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山西转型综合改革示范区促进企业</w:t>
      </w:r>
      <w:r>
        <w:rPr>
          <w:rFonts w:hint="eastAsia" w:ascii="仿宋" w:hAnsi="仿宋" w:eastAsia="仿宋" w:cs="仿宋"/>
          <w:sz w:val="30"/>
          <w:szCs w:val="30"/>
          <w:u w:val="none"/>
        </w:rPr>
        <w:t>自主创新办法》</w:t>
      </w:r>
      <w:r>
        <w:rPr>
          <w:rFonts w:hint="eastAsia" w:ascii="仿宋" w:hAnsi="仿宋" w:eastAsia="仿宋" w:cs="仿宋"/>
          <w:sz w:val="30"/>
          <w:szCs w:val="30"/>
        </w:rPr>
        <w:t>的规定予以奖励。</w:t>
      </w:r>
    </w:p>
    <w:p>
      <w:pPr>
        <w:pStyle w:val="4"/>
      </w:pPr>
    </w:p>
    <w:p>
      <w:pPr>
        <w:pStyle w:val="8"/>
        <w:widowControl/>
        <w:spacing w:beforeAutospacing="0" w:after="226" w:afterAutospacing="0" w:line="560" w:lineRule="atLeast"/>
        <w:ind w:firstLine="2249" w:firstLineChars="703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优化数字经济发展环境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-SA"/>
        </w:rPr>
        <w:t>第十二条 支持数据中心参加战略性新兴产业用电交易，实现用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户终端电价0.3元/千瓦时的目标（用电电压等级为110千伏及以上）。支持绿色数据中心创建、运维和改造，对获得国家绿色数据中心称号的，按照超大型数据中心、大型数据中心、中小型数据中心，分别给予一次性100万元、200万元、300万元奖励。</w:t>
      </w:r>
    </w:p>
    <w:p>
      <w:pPr>
        <w:pStyle w:val="8"/>
        <w:spacing w:after="226" w:line="560" w:lineRule="atLeast"/>
        <w:ind w:firstLine="640"/>
        <w:jc w:val="both"/>
        <w:rPr>
          <w:rFonts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第十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条 鼓励招商平台或链主企业及个人招引数字经济领域项目，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招引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项目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主营业务收入首次达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000万元以上，项目入统后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给予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主营业务收入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‰招商奖励，最高奖励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00万元。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条 对入驻企业或项目选择使用区内现有数字化算力（包括人工智能算力、云服务、高性能计算服务、云存储服务等）服务给予每年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0%的算力服务费用补贴，按照算力服务合同额进行补贴，最高不超过100万元，补贴期限2年。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 xml:space="preserve">条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支持工</w:t>
      </w:r>
      <w:r>
        <w:rPr>
          <w:rFonts w:ascii="仿宋" w:hAnsi="仿宋" w:eastAsia="仿宋" w:cs="仿宋"/>
          <w:sz w:val="30"/>
          <w:szCs w:val="30"/>
        </w:rPr>
        <w:t>业互联网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技术</w:t>
      </w:r>
      <w:r>
        <w:rPr>
          <w:rFonts w:ascii="仿宋" w:hAnsi="仿宋" w:eastAsia="仿宋" w:cs="仿宋"/>
          <w:sz w:val="30"/>
          <w:szCs w:val="30"/>
        </w:rPr>
        <w:t>企业开发工业大数据应用， 提供工业数据深度挖掘服务。对服务</w:t>
      </w:r>
      <w:r>
        <w:rPr>
          <w:rFonts w:hint="eastAsia" w:ascii="仿宋" w:hAnsi="仿宋" w:eastAsia="仿宋" w:cs="仿宋"/>
          <w:sz w:val="30"/>
          <w:szCs w:val="30"/>
        </w:rPr>
        <w:t>区内</w:t>
      </w:r>
      <w:r>
        <w:rPr>
          <w:rFonts w:ascii="仿宋" w:hAnsi="仿宋" w:eastAsia="仿宋" w:cs="仿宋"/>
          <w:sz w:val="30"/>
          <w:szCs w:val="30"/>
        </w:rPr>
        <w:t>企业数超</w:t>
      </w:r>
      <w:r>
        <w:rPr>
          <w:rFonts w:hint="eastAsia" w:ascii="仿宋" w:hAnsi="仿宋" w:eastAsia="仿宋" w:cs="仿宋"/>
          <w:sz w:val="30"/>
          <w:szCs w:val="30"/>
        </w:rPr>
        <w:t>50</w:t>
      </w:r>
      <w:r>
        <w:rPr>
          <w:rFonts w:ascii="仿宋" w:hAnsi="仿宋" w:eastAsia="仿宋" w:cs="仿宋"/>
          <w:sz w:val="30"/>
          <w:szCs w:val="30"/>
        </w:rPr>
        <w:t>家、年度营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业</w:t>
      </w:r>
      <w:r>
        <w:rPr>
          <w:rFonts w:ascii="仿宋" w:hAnsi="仿宋" w:eastAsia="仿宋" w:cs="仿宋"/>
          <w:sz w:val="30"/>
          <w:szCs w:val="30"/>
        </w:rPr>
        <w:t>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入</w:t>
      </w:r>
      <w:r>
        <w:rPr>
          <w:rFonts w:ascii="仿宋" w:hAnsi="仿宋" w:eastAsia="仿宋" w:cs="仿宋"/>
          <w:sz w:val="30"/>
          <w:szCs w:val="30"/>
        </w:rPr>
        <w:t>超 500 万元的工业大数据应用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</w:t>
      </w:r>
      <w:r>
        <w:rPr>
          <w:rFonts w:ascii="仿宋" w:hAnsi="仿宋" w:eastAsia="仿宋" w:cs="仿宋"/>
          <w:sz w:val="30"/>
          <w:szCs w:val="30"/>
        </w:rPr>
        <w:t>，按照不超过合同额10%的比例给予奖励，最高 100 万元。</w:t>
      </w:r>
    </w:p>
    <w:p>
      <w:pPr>
        <w:pStyle w:val="2"/>
        <w:ind w:firstLine="600" w:firstLineChars="200"/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第十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条 加大数字经济人才引进力度，鼓励企业引进高层次人才和高级管理人员，对符合条件人才按照综改示范区现行人才政策予以人才奖励、人才公寓、人才落户、子女上学、健康医疗等方面支持和保障。</w:t>
      </w:r>
    </w:p>
    <w:p>
      <w:pPr>
        <w:pStyle w:val="8"/>
        <w:widowControl/>
        <w:spacing w:beforeAutospacing="0" w:after="226" w:afterAutospacing="0" w:line="560" w:lineRule="atLeast"/>
        <w:ind w:firstLine="2711" w:firstLineChars="900"/>
        <w:jc w:val="both"/>
        <w:rPr>
          <w:rFonts w:ascii="黑体" w:hAnsi="黑体" w:eastAsia="黑体" w:cs="黑体"/>
          <w:b/>
          <w:bCs/>
          <w:color w:val="333333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</w:rPr>
        <w:t>第六章   附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</w:rPr>
        <w:t>则</w:t>
      </w:r>
    </w:p>
    <w:p>
      <w:pPr>
        <w:pStyle w:val="8"/>
        <w:widowControl/>
        <w:spacing w:beforeAutospacing="0" w:after="226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条 本办法扶持政策的兑现按照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综改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示范区财政扶持政策的兑现流程审核办理。对于弄虚作假申报扶持政策或重复申报政策的企业，综改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示范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区有权追回扶持资金并追究其法律责任。扶持政策的监督管理按照综改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示范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区《财政扶持企业政策监督管理办法》及相关资金管理办法等规定执行。</w:t>
      </w:r>
    </w:p>
    <w:p>
      <w:pPr>
        <w:pStyle w:val="8"/>
        <w:widowControl/>
        <w:spacing w:beforeAutospacing="0" w:after="226" w:afterAutospacing="0" w:line="560" w:lineRule="atLeast"/>
        <w:ind w:firstLine="64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十八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条  本办法自2023年x月x日起实施，有效期为x年。</w:t>
      </w:r>
    </w:p>
    <w:p/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</w:p>
    <w:p/>
    <w:p>
      <w:pPr>
        <w:pStyle w:val="2"/>
      </w:pPr>
    </w:p>
    <w:p/>
    <w:p/>
    <w:p>
      <w:pPr>
        <w:pStyle w:val="2"/>
      </w:pPr>
      <w:r>
        <w:rPr>
          <w:rFonts w:hint="eastAsia"/>
        </w:rPr>
        <w:t>名词解释：</w:t>
      </w:r>
    </w:p>
    <w:p>
      <w:pPr>
        <w:numPr>
          <w:ilvl w:val="0"/>
          <w:numId w:val="4"/>
        </w:numPr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企业总部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：指国内外知名企业在综改示范区设立、年营业收入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亿元以上的企业总部、区域总部或功能总部。</w:t>
      </w:r>
    </w:p>
    <w:p>
      <w:pPr>
        <w:pStyle w:val="2"/>
        <w:numPr>
          <w:ilvl w:val="0"/>
          <w:numId w:val="4"/>
        </w:numPr>
        <w:rPr>
          <w:rFonts w:ascii="仿宋" w:hAnsi="仿宋" w:eastAsia="仿宋" w:cs="仿宋"/>
          <w:b w:val="0"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全国电子信息百强、软件百强、互联网信息百强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：首次进入工信部指导审定或发布的“中国电子信息百强企业”、“中国软件业务收入前百家企业”、“中国互联网百强企业”名单。</w:t>
      </w:r>
    </w:p>
    <w:p>
      <w:pPr>
        <w:widowControl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.互联网百强</w:t>
      </w:r>
      <w:r>
        <w:rPr>
          <w:rFonts w:hint="eastAsia" w:ascii="仿宋" w:hAnsi="仿宋" w:eastAsia="仿宋" w:cs="仿宋"/>
          <w:sz w:val="30"/>
          <w:szCs w:val="30"/>
        </w:rPr>
        <w:t>：以中国互联网协会发布的最新中国互联网企业 100 强为准。</w:t>
      </w:r>
    </w:p>
    <w:p>
      <w:pPr>
        <w:rPr>
          <w:rFonts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.世界</w:t>
      </w:r>
      <w:r>
        <w:rPr>
          <w:rFonts w:ascii="仿宋" w:hAnsi="仿宋" w:eastAsia="仿宋" w:cs="仿宋"/>
          <w:b/>
          <w:bCs/>
          <w:sz w:val="30"/>
          <w:szCs w:val="30"/>
          <w:u w:val="none"/>
        </w:rPr>
        <w:t>500强</w:t>
      </w:r>
      <w:r>
        <w:rPr>
          <w:rFonts w:hint="eastAsia" w:ascii="仿宋" w:hAnsi="仿宋" w:eastAsia="仿宋" w:cs="仿宋"/>
          <w:sz w:val="30"/>
          <w:szCs w:val="30"/>
          <w:u w:val="none"/>
        </w:rPr>
        <w:t>：以美国《财富》杂志最新公布的为准。</w:t>
      </w:r>
    </w:p>
    <w:p>
      <w:pPr>
        <w:rPr>
          <w:rFonts w:ascii="仿宋" w:hAnsi="仿宋" w:eastAsia="仿宋" w:cs="仿宋"/>
          <w:sz w:val="30"/>
          <w:szCs w:val="30"/>
          <w:u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0"/>
          <w:szCs w:val="30"/>
          <w:u w:val="none"/>
        </w:rPr>
        <w:t>.</w:t>
      </w:r>
      <w:r>
        <w:rPr>
          <w:rFonts w:ascii="仿宋" w:hAnsi="仿宋" w:eastAsia="仿宋" w:cs="仿宋"/>
          <w:b/>
          <w:bCs/>
          <w:sz w:val="30"/>
          <w:szCs w:val="30"/>
          <w:u w:val="none"/>
        </w:rPr>
        <w:t>中国500强</w:t>
      </w:r>
      <w:r>
        <w:rPr>
          <w:rFonts w:hint="eastAsia" w:ascii="仿宋" w:hAnsi="仿宋" w:eastAsia="仿宋" w:cs="仿宋"/>
          <w:sz w:val="30"/>
          <w:szCs w:val="30"/>
          <w:u w:val="none"/>
        </w:rPr>
        <w:t>：以中国企业联合会、中国企业家协会联合最新公布的为准。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.</w:t>
      </w:r>
      <w:r>
        <w:rPr>
          <w:rFonts w:ascii="仿宋" w:hAnsi="仿宋" w:eastAsia="仿宋" w:cs="仿宋"/>
          <w:b/>
          <w:bCs/>
          <w:sz w:val="30"/>
          <w:szCs w:val="30"/>
        </w:rPr>
        <w:t>中国民营500强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以全国工商联最新公布的为准。</w:t>
      </w:r>
    </w:p>
    <w:p>
      <w:pPr>
        <w:pStyle w:val="2"/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</w:rPr>
        <w:t>.数据中心规模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：超大型数据中心（标准机柜数不低于10000）；大型数据中心（标准机柜数3000-10000）；中小型数据中心（标准机柜数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/>
        </w:rPr>
        <w:t>1000-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</w:rPr>
        <w:t>3000）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77519"/>
    <w:multiLevelType w:val="singleLevel"/>
    <w:tmpl w:val="B9777519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090193C3"/>
    <w:multiLevelType w:val="singleLevel"/>
    <w:tmpl w:val="090193C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B8CA46E"/>
    <w:multiLevelType w:val="singleLevel"/>
    <w:tmpl w:val="3B8CA46E"/>
    <w:lvl w:ilvl="0" w:tentative="0">
      <w:start w:val="9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4BC62200"/>
    <w:multiLevelType w:val="singleLevel"/>
    <w:tmpl w:val="4BC622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YjBlMTMwMDIzNjI5NmJmYmMxYzhhMzIyNDJhNzkifQ=="/>
  </w:docVars>
  <w:rsids>
    <w:rsidRoot w:val="5FAD53A9"/>
    <w:rsid w:val="003C2437"/>
    <w:rsid w:val="00D148DF"/>
    <w:rsid w:val="00D20A4C"/>
    <w:rsid w:val="06356211"/>
    <w:rsid w:val="0A0741F8"/>
    <w:rsid w:val="0B4C7E33"/>
    <w:rsid w:val="0E35096D"/>
    <w:rsid w:val="15F246B8"/>
    <w:rsid w:val="19322678"/>
    <w:rsid w:val="1C327E6A"/>
    <w:rsid w:val="1D2E13A9"/>
    <w:rsid w:val="1DB612CA"/>
    <w:rsid w:val="244D480A"/>
    <w:rsid w:val="246F15D8"/>
    <w:rsid w:val="2B3475DD"/>
    <w:rsid w:val="2F854E58"/>
    <w:rsid w:val="325D4A32"/>
    <w:rsid w:val="33E523DE"/>
    <w:rsid w:val="362353CB"/>
    <w:rsid w:val="3A750611"/>
    <w:rsid w:val="3AE24F0E"/>
    <w:rsid w:val="3DE418E4"/>
    <w:rsid w:val="445B21D4"/>
    <w:rsid w:val="4513485D"/>
    <w:rsid w:val="45B7168C"/>
    <w:rsid w:val="495D7917"/>
    <w:rsid w:val="49C75424"/>
    <w:rsid w:val="4A075CBE"/>
    <w:rsid w:val="4B092B19"/>
    <w:rsid w:val="4DC450F1"/>
    <w:rsid w:val="502A6EBD"/>
    <w:rsid w:val="55D45272"/>
    <w:rsid w:val="5C6F5B0B"/>
    <w:rsid w:val="5FAD53A9"/>
    <w:rsid w:val="60C17B0A"/>
    <w:rsid w:val="668E57A1"/>
    <w:rsid w:val="69DA3A17"/>
    <w:rsid w:val="6A8D3995"/>
    <w:rsid w:val="6C983716"/>
    <w:rsid w:val="6CE10C19"/>
    <w:rsid w:val="6D32535C"/>
    <w:rsid w:val="6F883B93"/>
    <w:rsid w:val="76361FD5"/>
    <w:rsid w:val="7AD24081"/>
    <w:rsid w:val="7C9051BA"/>
    <w:rsid w:val="7DDF7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2180</Words>
  <Characters>2293</Characters>
  <Lines>23</Lines>
  <Paragraphs>6</Paragraphs>
  <TotalTime>14</TotalTime>
  <ScaleCrop>false</ScaleCrop>
  <LinksUpToDate>false</LinksUpToDate>
  <CharactersWithSpaces>2335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2023-03-30T09:15:00Z</dcterms:created>
  <dc:creator>陈敏</dc:creator>
  <cp:lastModifiedBy>刘军</cp:lastModifiedBy>
  <dcterms:modified xsi:type="dcterms:W3CDTF">2023-03-31T04:31:40Z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5B6D072BB9A94AA59C3A3478E059AD29</vt:lpwstr>
  </property>
</Properties>
</file>