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晋源区专业镇高质量发展实施方案</w:t>
      </w:r>
    </w:p>
    <w:p>
      <w:pPr>
        <w:pStyle w:val="2"/>
        <w:ind w:left="0" w:leftChars="0" w:firstLine="0" w:firstLineChars="0"/>
        <w:jc w:val="center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</w:rPr>
        <w:t>（征求意见稿）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为建立专业镇工作机制，精准实施专业镇抱团发展、梯次培育，推动我区特色产业做大做强，促进市场主体倍增，助力全方位高质量发展，根据《山西省促进专业镇高质量发展实施方案》（晋政办发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80号）和《太原市促进专业镇高质量发展实施方案》（并政办发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9号）要求，结合我区实际，制定本实施方案。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一、总体要求</w:t>
      </w:r>
    </w:p>
    <w:p>
      <w:pPr>
        <w:widowControl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（一）指导思想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习近平新时代中国特色社会主义思想为指导，认真贯彻落实习近平总书记考察调研山西重要讲话重要指示精神，全面落实我省特色专业镇发展工作会议部署，坚持新发展理念，立足产业基础和发展定位，充分挖掘我区资源禀赋和历史传统优势，加快培育发展有发展基础和特色潜力的特色专业镇。</w:t>
      </w:r>
    </w:p>
    <w:p>
      <w:pPr>
        <w:widowControl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（二）工作目标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打造专业镇发展标杆为目标，发挥产业基础、产品特色和市场优势，建立市级专业镇培育库，加快晋源区花卉专业镇建设。支持各镇（街）按区域划分，各部门按产业划分，挖掘区域内特色产业，培育市级专业镇雏形，打造拳头产品，支持“国字号”品牌创建，擦亮“山西精品”公用品牌，进一步增强核心产品竞争力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二、重点任务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（一）壮大专业镇主导产业。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鼓励企业围绕产业链上下游及关联领域进行战略联盟、股份合作、兼并收购等，做强做大、提质增效。积极推动“小升规”，遴选一批具有“专精特新”发展潜力的中小企业，在技术、资金、人才、数据等要素资源上给予支持，引导中小微企业从传统加工型向“专精特新”转变。积极培育省级和国家级专精特新“小巨人”，培育专精特新“小巨人”企业发展成为国家级制造业单项冠军企业（产品）。（责任单位：区工信局、区农业农村局、区文旅局牵头，区发改局、区科技局、区自然资源局、区市场局、区行政审批局、生态环境分局、区金融办、各镇（街）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（二）培育专业镇市场主体。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力推进“专业镇+产业链+市场主体”培育模式，发挥优化营商环境促进市场主体倍增工作专班的督促督查职能，用足用好市场主体倍增“１+１+８+１”政策体系及专业镇发展政策，推动专业镇龙头企业做大做强。切实发挥出龙头的引领示范作用，上下游企业协作配套、“携手行动”“抱团”发展，不断提升整体产业链供给质效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用好现用政策，加大对中小企业的政策扶持力度，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引导中小企业围绕专业镇龙头企业需求，提供配套产品和服务，推动更多中小企业融入专业镇产业链供应链体系。（责任单位：区工信局、区农业农村局、区文旅局牵头，区发展改革局、区科技局、区财政局、区规划和自然资源局、区生态环境局、区审批服务管理局、区市场监管局、区金融办、区中小企业发展促进中心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（三）攻坚专业镇重大项目。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推动专业镇重点项目建设，持续推动项目签约、开工、投产“三个一批”活动，为专业镇高质量发展注入强劲动力。加快专业镇龙头企业数字化改造，推动智能工厂、智能车间建设和“5G+”融合创新应用项目。在审批服务、专项资金、项目用地、能耗排放等方面对符合全区产业规划的专业镇重点项目给予支持。做好重点项目建设动态监测，对项目建设中存在的困难问题，各成员单位加大统筹协调力度，通过召开专题会等形式推动问题解决，力争项目早落地、早建设、早投产、早达效。（责任单位：区发改局、区工信局、区农业农村局、区文旅局牵头，区财政局、区商务局、区自然资源局、区市场局、区审行政审批局、生态环境分局、区金融办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（四）提升专业镇创新能力。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聚焦专业镇自主创新提升，用足用好各类科技创新支撑措施，运用资金补助、引导组建创新联合体等方式，龙头企业联合高校、科研院所对专业镇特色产业领域的关键技术进行联合攻关。支持专业镇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建重点实验室、工程研究中心、技术创新中心、产业技术中心、产业技术研究院等各类科技创新平台。运用产学研共建等模式，积极引导科研工作者围绕专业镇需求，开展关键核心技术和共性技术攻关，引育专业科研人才团队，举办创新创业培训，持续提升专业镇科技创新能力和产业竞争力。（责任单位：区科技局、区工信局牵头，区农业农村局、区文旅局、区市场监管局、区行政审批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（五）提升专业镇质量品牌。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挥细分产品市场主导地位优势，深耕细作，集中优势打造质量优、竞争力强、附加值高的“拳头产品”。聚焦提升地域特色产业品牌，推动地理标志证明商标、中华老字号、国家非物质文化遗产等专业镇“国字号”品牌申报，加大协同力度，推动专业镇企业创建“山西精品”公用品牌。打击假冒伪劣，维护市场秩序，加强知识产权管理和保护，促进专利的转移转化，培育高价值专利组合，推进专利技术产业化。鼓励专业镇深入组织开展小微企业质量管理体系认证提升行动。（责任单位：区市场局牵头，区科技局、区工信局、区农业农村局、区文旅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（六）拓展专业镇市场。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深挖品牌文化价值，加大宣传力度，提升品牌知名度、影响力。用好进博会、工博会、中博会等平台，举办产品推介活动，精准开展产销对接，助力企业拓展国际国内市场。引进电商直播行业主体落户，利用直播带货等新型销售模式，进一步扩大产品销售渠道。（责任单位：区商务局牵头，区发改局、区工信局、区农业农村局、区文旅局、区交通局、区市场局、区行政审批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（七）赋能专业镇就业富民。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坚持就业富民导向，围绕上下游产业建设需要，结合本区人才现状、需求、特点等情况，鼓励专业镇依托各类职业培训机构开展技能培训，提升劳动者技能。鼓励专业镇企业依托普通高校、职业院校开展订单式、项目制培训，支持专业镇企业开展企业职工技能培训，提高职工技能水平。针对特色产业，引进技能型人才、急需紧缺人才，解决专业镇转型升级过程中的人才缺乏问题。鼓励创业带动就业，发展电子商务、快递物流、商贸服务、市场营销等专业化配套服务，提高就业吸纳能力。（责任单位：区教育局、区人社局牵头，区发改局、区科技局、区工信局、区农业农村局、区文旅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（八）支持专业镇精准招商。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围绕专业镇主导产业，延链补链强链、数字化智能提升、特色产业新动能培育等重点招商领域，绘制产业招商图谱。聚焦主导产业发展，制定招商引资清单，明确招引重点和方向，按照“一镇一策”工作要求，针对性制定招商引资方案和落实举措。精准锚定目标企业，通过产业链招商、以商招商、以企招商等方式，吸引更多市场主体在专业镇投资落地高端优质项目。（责任单位：区商务局牵头，区科技局、区工信局、区农业农村局、区商务局、区文旅局、区市场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（九）优化专业镇融资服务。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发挥太原区综合金融服务平台线上24小时融资对接功能和太原金融综合服务大厅资源集聚优势，畅通融资渠道，充分利用各类金融产品，加强对专业镇市场主体的信贷支持。大力发展直接融资，拓宽融资渠道，加强精准服务指导，推动符合条件的专业镇企业上市。（责任单位：区金融办牵头，区发改局、区工信局、区财政局、区农业农村局、区文旅局配合）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（十）强化专业镇要素保障。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筹引导政策、项目、资金、人才、土地、能耗等各类资源要素向专业镇汇聚，优先保障专业镇重点企业和项目建设需求，完善专业镇基础设施建设。聚焦打造“三无”“三可”营商环境，推动落实“承诺制+标准地+全代办”，全力提升服务企业水平。依托公共服务平台实体、热线、网络平台为专业镇发展提供优质高效的配套服务。（责任单位：区工信局、区行政审批局牵头，区发改局、区教育局、区科技局、区农业农村局、区文旅局、区住建局、区城管局、区交通局、区市场局配合）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三、保障措施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（一）完善组织领导。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成立晋源区专业镇发展领导小组，加强对全区专业镇建设工作的统筹协调和宏观指导。领导小组办公室设在区工信局，负责日常协调工作。各成员单位各负其责，协调联动，会商解决各类问题。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（二）开展谋划培育。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强化属地责任，立足具备一定发展基础和特色潜力的区域产业，结合各自发展实际，对照省级、市级专业镇认定标准，对专业镇现状进行摸底、谋划。按照每个县（市、区）、每个开发区至少要有一个专业镇的目标，“一镇一策”建立工作专班，提出专业镇建设目标，从主导产业产值、营收规模、主导产品市场率等方面明确发展指标，将发展路径中的问题具体化、详实化，责任清晰化、全面化，形成重大项目清单、招商引资清单等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（三）强化问题办理。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建立问题台账，及时收集整理专业镇培育问题，及时掌握专业镇工作推进情况，为决策部署提供科学数据支撑。开展常态化入企服务活动，加强帮扶指导，及时解决专业镇发展中遇到的问题。</w:t>
      </w:r>
    </w:p>
    <w:p>
      <w:pPr>
        <w:widowControl/>
        <w:spacing w:line="60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本实施方案由区工信局负责解释。</w:t>
      </w:r>
    </w:p>
    <w:p>
      <w:pPr>
        <w:pStyle w:val="7"/>
      </w:pP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附件：晋源区专业镇发展领导小组</w:t>
      </w:r>
    </w:p>
    <w:p>
      <w:pPr>
        <w:pStyle w:val="2"/>
        <w:ind w:firstLine="640"/>
        <w:rPr>
          <w:rFonts w:ascii="仿宋" w:hAnsi="仿宋" w:eastAsia="仿宋" w:cs="仿宋"/>
          <w:color w:val="000000"/>
          <w:kern w:val="0"/>
          <w:sz w:val="32"/>
        </w:rPr>
      </w:pPr>
    </w:p>
    <w:p>
      <w:pPr>
        <w:pStyle w:val="6"/>
      </w:pPr>
    </w:p>
    <w:p>
      <w:pPr>
        <w:widowControl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6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6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晋源区专业镇发展领导小组</w:t>
      </w:r>
    </w:p>
    <w:p>
      <w:pPr>
        <w:widowControl/>
        <w:spacing w:line="600" w:lineRule="exac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为贯彻落实省市关于推进专业镇高质量发展的决策部署，扎实做好我区专业镇建设工作，抢占发展新机遇，促进我区经济高质量发展，特成立晋源区专业镇发展领导小组。</w:t>
      </w:r>
      <w:r>
        <w:rPr>
          <w:rFonts w:hint="eastAsia" w:ascii="仿宋" w:hAnsi="仿宋" w:eastAsia="仿宋" w:cs="仿宋"/>
          <w:sz w:val="32"/>
          <w:szCs w:val="32"/>
        </w:rPr>
        <w:t>现将领导小组成员及专班职责通知如下：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一、领导小组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组  长：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张  耀 区委副书记、区长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副组长：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郭忻昕 区委常委、副区长</w:t>
      </w:r>
    </w:p>
    <w:p>
      <w:pPr>
        <w:spacing w:line="600" w:lineRule="exact"/>
        <w:ind w:firstLine="643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成员单位：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委组织部、区委宣传部、区委统战部、区工商联、区发改局、区教育局、区科技局、区工信局、区民政局、区司法局、区财政局、区人社局、区自然资源局、区住建局、区城管局、区交通局、区农业农村局、区商务局、区文旅局、区市场局、区统计局、区行政审批局、生态环境分局、区税务局、区金融办、义井街办、金胜镇、罗城街办、晋源街办、晋祠镇、姚村镇</w:t>
      </w:r>
    </w:p>
    <w:p>
      <w:pPr>
        <w:pStyle w:val="2"/>
        <w:ind w:left="0" w:leftChars="0" w:firstLine="640"/>
        <w:rPr>
          <w:rFonts w:ascii="仿宋" w:hAnsi="仿宋" w:eastAsia="仿宋" w:cs="仿宋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</w:rPr>
        <w:t>领导小组下设办公室，办公室设在区工信局。办公室主任由区工信局局长兼任，副主任由区农业农村局、区文旅局分管负责人兼任。</w:t>
      </w:r>
    </w:p>
    <w:p>
      <w:pPr>
        <w:pStyle w:val="2"/>
        <w:ind w:left="0" w:leftChars="0" w:firstLine="640"/>
      </w:pPr>
      <w:r>
        <w:rPr>
          <w:rFonts w:hint="eastAsia" w:ascii="仿宋" w:hAnsi="仿宋" w:eastAsia="仿宋" w:cs="仿宋"/>
          <w:color w:val="000000"/>
          <w:kern w:val="0"/>
          <w:sz w:val="32"/>
        </w:rPr>
        <w:t>各成员单位根据工作职能，强化配合联动，高效推进各项工作取得实效。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二、主要职责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领导小组负责统筹协调全区专业镇发展规划、目标要求、政策制定、工作部署，协调解决重大问题，推进我区专业镇高质量发展。办公室承担领导小组日常工作，协调推动专业镇发展工作，负责推进市级专业镇培育、申报等工作，协调领导小组各成员单位统筹解决我区专业镇重大事项，督促重大决策落地实施，完成领导小组交办的其他任务。各成员单位根据工作职能，强化配合联动，高效推进各项工作取得实效。</w:t>
      </w:r>
    </w:p>
    <w:p>
      <w:pPr>
        <w:spacing w:line="600" w:lineRule="exact"/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WU4ZTY2NDk1NWRlMjBmOTMyZDFmNDA1ZTNiYmEifQ=="/>
  </w:docVars>
  <w:rsids>
    <w:rsidRoot w:val="34D95D13"/>
    <w:rsid w:val="001A3DBF"/>
    <w:rsid w:val="00397D9E"/>
    <w:rsid w:val="004E0E16"/>
    <w:rsid w:val="006F1D94"/>
    <w:rsid w:val="0070138C"/>
    <w:rsid w:val="007E5C18"/>
    <w:rsid w:val="00852141"/>
    <w:rsid w:val="00861A9E"/>
    <w:rsid w:val="00BE1088"/>
    <w:rsid w:val="00FE105D"/>
    <w:rsid w:val="0B966318"/>
    <w:rsid w:val="18B226D8"/>
    <w:rsid w:val="1FB04AD8"/>
    <w:rsid w:val="22A725C1"/>
    <w:rsid w:val="2D4E5BDA"/>
    <w:rsid w:val="2DF14458"/>
    <w:rsid w:val="2E474078"/>
    <w:rsid w:val="34D95D13"/>
    <w:rsid w:val="3BC25DE6"/>
    <w:rsid w:val="444B446B"/>
    <w:rsid w:val="49920A9F"/>
    <w:rsid w:val="4C8A7AFA"/>
    <w:rsid w:val="4CB46925"/>
    <w:rsid w:val="4DCE3A17"/>
    <w:rsid w:val="551C08F7"/>
    <w:rsid w:val="55A97243"/>
    <w:rsid w:val="598853C1"/>
    <w:rsid w:val="5D7A3273"/>
    <w:rsid w:val="61291238"/>
    <w:rsid w:val="61384D32"/>
    <w:rsid w:val="6FEA6982"/>
    <w:rsid w:val="72665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99"/>
    <w:pPr>
      <w:ind w:firstLine="200" w:firstLineChars="200"/>
    </w:pPr>
  </w:style>
  <w:style w:type="paragraph" w:styleId="3">
    <w:name w:val="Body Text Indent"/>
    <w:basedOn w:val="4"/>
    <w:next w:val="4"/>
    <w:qFormat/>
    <w:uiPriority w:val="0"/>
    <w:pPr>
      <w:ind w:left="420" w:leftChars="200"/>
    </w:pPr>
  </w:style>
  <w:style w:type="paragraph" w:styleId="4">
    <w:name w:val="Body Text First Indent"/>
    <w:basedOn w:val="5"/>
    <w:next w:val="3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99"/>
    <w:rPr>
      <w:rFonts w:ascii="仿宋_GB2312" w:eastAsia="仿宋_GB2312"/>
      <w:sz w:val="30"/>
      <w:szCs w:val="32"/>
    </w:rPr>
  </w:style>
  <w:style w:type="paragraph" w:styleId="6">
    <w:name w:val="index 6"/>
    <w:basedOn w:val="1"/>
    <w:next w:val="1"/>
    <w:qFormat/>
    <w:uiPriority w:val="0"/>
    <w:pPr>
      <w:ind w:left="2100"/>
    </w:pPr>
    <w:rPr>
      <w:rFonts w:ascii="仿宋" w:hAnsi="Times New Roman" w:eastAsia="仿宋"/>
      <w:sz w:val="32"/>
      <w:szCs w:val="32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99"/>
    <w:pPr>
      <w:ind w:left="420"/>
      <w:jc w:val="center"/>
    </w:pPr>
    <w:rPr>
      <w:rFonts w:ascii="楷体_GB2312" w:eastAsia="楷体_GB2312"/>
      <w:sz w:val="32"/>
    </w:rPr>
  </w:style>
  <w:style w:type="character" w:customStyle="1" w:styleId="13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3993</Words>
  <Characters>4003</Characters>
  <Lines>1</Lines>
  <Paragraphs>8</Paragraphs>
  <TotalTime>71</TotalTime>
  <ScaleCrop>false</ScaleCrop>
  <LinksUpToDate>false</LinksUpToDate>
  <CharactersWithSpaces>4011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2023-04-17T01:23:00Z</dcterms:created>
  <dc:creator>咚咚咚</dc:creator>
  <cp:lastModifiedBy>Administrator</cp:lastModifiedBy>
  <cp:lastPrinted>2023-04-17T07:26:00Z</cp:lastPrinted>
  <dcterms:modified xsi:type="dcterms:W3CDTF">2023-05-06T07:27:25Z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ED45CE5764664D02B61095FB80F453E7_13</vt:lpwstr>
  </property>
</Properties>
</file>