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小标宋简体"/>
          <w:sz w:val="44"/>
          <w:szCs w:val="44"/>
        </w:rPr>
      </w:pPr>
      <w:bookmarkStart w:id="48" w:name="_GoBack"/>
      <w:bookmarkEnd w:id="48"/>
    </w:p>
    <w:p>
      <w:pPr>
        <w:widowControl/>
        <w:jc w:val="left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黑体"/>
          <w:sz w:val="52"/>
          <w:szCs w:val="52"/>
        </w:rPr>
      </w:pPr>
    </w:p>
    <w:p>
      <w:pPr>
        <w:widowControl/>
        <w:jc w:val="center"/>
        <w:rPr>
          <w:rFonts w:eastAsia="方正小标宋_GBK"/>
          <w:sz w:val="48"/>
          <w:szCs w:val="48"/>
          <w:u w:val="single"/>
        </w:rPr>
      </w:pPr>
      <w:r>
        <w:rPr>
          <w:rFonts w:eastAsia="方正小标宋_GBK"/>
          <w:sz w:val="48"/>
          <w:szCs w:val="48"/>
          <w:u w:val="single"/>
        </w:rPr>
        <w:t>（××服务业集聚区名称）</w:t>
      </w:r>
    </w:p>
    <w:p>
      <w:pPr>
        <w:widowControl/>
        <w:jc w:val="center"/>
        <w:rPr>
          <w:rFonts w:eastAsia="方正小标宋_GBK"/>
          <w:sz w:val="44"/>
          <w:szCs w:val="44"/>
        </w:rPr>
      </w:pPr>
    </w:p>
    <w:p>
      <w:pPr>
        <w:widowControl/>
        <w:jc w:val="center"/>
        <w:rPr>
          <w:rFonts w:eastAsia="方正小标宋_GBK"/>
          <w:sz w:val="72"/>
          <w:szCs w:val="72"/>
        </w:rPr>
      </w:pPr>
      <w:r>
        <w:rPr>
          <w:rFonts w:hint="eastAsia" w:eastAsia="方正小标宋_GBK"/>
          <w:sz w:val="72"/>
          <w:szCs w:val="72"/>
          <w:lang w:val="en-US" w:eastAsia="zh-CN"/>
        </w:rPr>
        <w:t>实施</w:t>
      </w:r>
      <w:r>
        <w:rPr>
          <w:rFonts w:eastAsia="方正小标宋_GBK"/>
          <w:sz w:val="72"/>
          <w:szCs w:val="72"/>
        </w:rPr>
        <w:t>方案</w:t>
      </w: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t>封面</w:t>
      </w: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center"/>
        <w:rPr>
          <w:rFonts w:eastAsia="方正小标宋简体"/>
          <w:sz w:val="44"/>
          <w:szCs w:val="44"/>
        </w:rPr>
      </w:pPr>
    </w:p>
    <w:p>
      <w:pPr>
        <w:widowControl/>
        <w:spacing w:line="6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申请单位：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eastAsia="楷体_GB2312"/>
          <w:b/>
          <w:sz w:val="32"/>
          <w:szCs w:val="32"/>
          <w:u w:val="single"/>
        </w:rPr>
        <w:t xml:space="preserve">（标准全称）（盖章） </w:t>
      </w:r>
      <w:r>
        <w:rPr>
          <w:rFonts w:eastAsia="黑体"/>
          <w:sz w:val="32"/>
          <w:szCs w:val="32"/>
          <w:u w:val="single"/>
        </w:rPr>
        <w:t xml:space="preserve">            </w:t>
      </w:r>
    </w:p>
    <w:p>
      <w:pPr>
        <w:widowControl/>
        <w:spacing w:line="660" w:lineRule="exact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申请单位联系人及电话：</w:t>
      </w:r>
      <w:r>
        <w:rPr>
          <w:rFonts w:eastAsia="黑体"/>
          <w:sz w:val="32"/>
          <w:szCs w:val="32"/>
          <w:u w:val="single"/>
        </w:rPr>
        <w:t xml:space="preserve">                              </w:t>
      </w:r>
    </w:p>
    <w:p>
      <w:pPr>
        <w:widowControl/>
        <w:spacing w:line="660" w:lineRule="exact"/>
        <w:rPr>
          <w:rFonts w:eastAsia="黑体"/>
          <w:sz w:val="32"/>
          <w:szCs w:val="32"/>
          <w:u w:val="single"/>
        </w:rPr>
        <w:sectPr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eastAsia="黑体"/>
          <w:sz w:val="32"/>
          <w:szCs w:val="32"/>
        </w:rPr>
        <w:t>申请时间：</w:t>
      </w:r>
      <w:r>
        <w:rPr>
          <w:rFonts w:eastAsia="黑体"/>
          <w:sz w:val="32"/>
          <w:szCs w:val="32"/>
          <w:u w:val="single"/>
        </w:rPr>
        <w:t xml:space="preserve">              </w:t>
      </w:r>
      <w:r>
        <w:rPr>
          <w:rFonts w:eastAsia="楷体_GB2312"/>
          <w:b/>
          <w:sz w:val="32"/>
          <w:szCs w:val="32"/>
          <w:u w:val="single"/>
        </w:rPr>
        <w:t xml:space="preserve"> 202</w:t>
      </w:r>
      <w:r>
        <w:rPr>
          <w:rFonts w:hint="eastAsia" w:eastAsia="楷体_GB2312"/>
          <w:b/>
          <w:sz w:val="32"/>
          <w:szCs w:val="32"/>
          <w:u w:val="single"/>
          <w:lang w:val="en-US" w:eastAsia="zh-CN"/>
        </w:rPr>
        <w:t>3</w:t>
      </w:r>
      <w:r>
        <w:rPr>
          <w:rFonts w:eastAsia="楷体_GB2312"/>
          <w:b/>
          <w:sz w:val="32"/>
          <w:szCs w:val="32"/>
          <w:u w:val="single"/>
        </w:rPr>
        <w:t xml:space="preserve">年X月X日 </w:t>
      </w:r>
      <w:r>
        <w:rPr>
          <w:rFonts w:eastAsia="黑体"/>
          <w:sz w:val="32"/>
          <w:szCs w:val="32"/>
          <w:u w:val="single"/>
        </w:rPr>
        <w:t xml:space="preserve">              </w:t>
      </w:r>
    </w:p>
    <w:p>
      <w:pPr>
        <w:keepNext/>
        <w:keepLines/>
        <w:spacing w:before="120" w:after="120" w:line="578" w:lineRule="auto"/>
        <w:jc w:val="center"/>
        <w:outlineLvl w:val="0"/>
        <w:rPr>
          <w:rFonts w:eastAsia="宋体"/>
          <w:b/>
          <w:bCs/>
          <w:kern w:val="44"/>
          <w:sz w:val="44"/>
          <w:szCs w:val="44"/>
        </w:rPr>
      </w:pPr>
      <w:bookmarkStart w:id="0" w:name="_Toc486801674"/>
      <w:bookmarkStart w:id="1" w:name="_Toc486795826"/>
      <w:bookmarkStart w:id="2" w:name="_Toc486795622"/>
      <w:bookmarkStart w:id="3" w:name="_Toc486795942"/>
      <w:bookmarkStart w:id="4" w:name="_Toc486801738"/>
      <w:bookmarkStart w:id="5" w:name="_Toc486796976"/>
      <w:bookmarkStart w:id="6" w:name="_Toc486796761"/>
      <w:bookmarkStart w:id="7" w:name="_Toc486801189"/>
    </w:p>
    <w:p>
      <w:pPr>
        <w:keepNext/>
        <w:keepLines/>
        <w:spacing w:before="120" w:after="120" w:line="578" w:lineRule="auto"/>
        <w:jc w:val="center"/>
        <w:outlineLvl w:val="0"/>
        <w:rPr>
          <w:rFonts w:eastAsia="方正小标宋简体"/>
          <w:bCs/>
          <w:kern w:val="44"/>
          <w:sz w:val="44"/>
          <w:szCs w:val="44"/>
        </w:rPr>
      </w:pPr>
      <w:r>
        <w:rPr>
          <w:rFonts w:hint="eastAsia" w:eastAsia="方正小标宋简体"/>
          <w:bCs/>
          <w:kern w:val="44"/>
          <w:sz w:val="44"/>
          <w:szCs w:val="44"/>
          <w:lang w:val="en-US" w:eastAsia="zh-CN"/>
        </w:rPr>
        <w:t>实施</w:t>
      </w:r>
      <w:r>
        <w:rPr>
          <w:rFonts w:eastAsia="方正小标宋简体"/>
          <w:bCs/>
          <w:kern w:val="44"/>
          <w:sz w:val="44"/>
          <w:szCs w:val="44"/>
        </w:rPr>
        <w:t>方案编制说明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为保证申报材料格式规范统一，便于评审专家审核，请在编制服务业集聚区</w:t>
      </w:r>
      <w:r>
        <w:rPr>
          <w:rFonts w:hint="eastAsia" w:eastAsia="仿宋_GB2312"/>
          <w:sz w:val="32"/>
          <w:szCs w:val="32"/>
          <w:lang w:val="en-US" w:eastAsia="zh-CN"/>
        </w:rPr>
        <w:t>实施</w:t>
      </w:r>
      <w:r>
        <w:rPr>
          <w:rFonts w:eastAsia="仿宋_GB2312"/>
          <w:sz w:val="32"/>
          <w:szCs w:val="32"/>
        </w:rPr>
        <w:t>方案过程中严格遵循以下格式要求：</w:t>
      </w:r>
    </w:p>
    <w:p>
      <w:pPr>
        <w:spacing w:line="540" w:lineRule="exact"/>
        <w:ind w:firstLine="640" w:firstLineChars="200"/>
        <w:rPr>
          <w:rFonts w:eastAsia="黑体"/>
          <w:bCs/>
          <w:kern w:val="44"/>
          <w:sz w:val="32"/>
          <w:szCs w:val="32"/>
        </w:rPr>
      </w:pPr>
      <w:bookmarkStart w:id="8" w:name="_Toc486801739"/>
      <w:bookmarkStart w:id="9" w:name="_Toc486801675"/>
      <w:bookmarkStart w:id="10" w:name="_Toc486796762"/>
      <w:bookmarkStart w:id="11" w:name="_Toc486795827"/>
      <w:bookmarkStart w:id="12" w:name="_Toc486795943"/>
      <w:bookmarkStart w:id="13" w:name="_Toc486796977"/>
      <w:bookmarkStart w:id="14" w:name="_Toc486801190"/>
      <w:bookmarkStart w:id="15" w:name="_Toc486795623"/>
      <w:r>
        <w:rPr>
          <w:rFonts w:eastAsia="黑体"/>
          <w:bCs/>
          <w:kern w:val="44"/>
          <w:sz w:val="32"/>
          <w:szCs w:val="32"/>
        </w:rPr>
        <w:t>一、</w:t>
      </w:r>
      <w:r>
        <w:rPr>
          <w:rFonts w:hint="eastAsia" w:eastAsia="黑体"/>
          <w:bCs/>
          <w:kern w:val="44"/>
          <w:sz w:val="32"/>
          <w:szCs w:val="32"/>
          <w:lang w:val="en-US" w:eastAsia="zh-CN"/>
        </w:rPr>
        <w:t>实施</w:t>
      </w:r>
      <w:r>
        <w:rPr>
          <w:rFonts w:eastAsia="黑体"/>
          <w:bCs/>
          <w:kern w:val="44"/>
          <w:sz w:val="32"/>
          <w:szCs w:val="32"/>
        </w:rPr>
        <w:t>方案正文的字体字号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标题使用二号方正小标宋_GBK字体，居中。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一级标题使用三号黑体，左对齐，首行缩进2字符。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二级标题使用三号楷体_GB2312加粗，左对齐，首行缩进2字符。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三级标题使用三号仿宋_GB2312加粗，左对齐，首行缩进2字符。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正文使用三号仿宋_GB2312，两端对齐，首行缩进2字符。数字及英文字母使用三号“Times New Roman”字体。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页码使用小四号半角阿拉伯数字，字体为Times New Roman，位于页面底部中间，从目录页开始至封底依次编码。</w:t>
      </w:r>
    </w:p>
    <w:p>
      <w:pPr>
        <w:spacing w:line="540" w:lineRule="exact"/>
        <w:ind w:firstLine="640" w:firstLineChars="200"/>
        <w:rPr>
          <w:rFonts w:eastAsia="黑体"/>
          <w:bCs/>
          <w:kern w:val="44"/>
          <w:sz w:val="32"/>
          <w:szCs w:val="32"/>
        </w:rPr>
      </w:pPr>
      <w:bookmarkStart w:id="16" w:name="_Toc486801676"/>
      <w:bookmarkStart w:id="17" w:name="_Toc486796978"/>
      <w:bookmarkStart w:id="18" w:name="_Toc486795828"/>
      <w:bookmarkStart w:id="19" w:name="_Toc486801740"/>
      <w:bookmarkStart w:id="20" w:name="_Toc486795624"/>
      <w:bookmarkStart w:id="21" w:name="_Toc486796763"/>
      <w:bookmarkStart w:id="22" w:name="_Toc486795944"/>
      <w:bookmarkStart w:id="23" w:name="_Toc486801191"/>
      <w:r>
        <w:rPr>
          <w:rFonts w:eastAsia="黑体"/>
          <w:bCs/>
          <w:kern w:val="44"/>
          <w:sz w:val="32"/>
          <w:szCs w:val="32"/>
        </w:rPr>
        <w:t>二、方案页边距及段落行距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黑体"/>
          <w:bCs/>
          <w:kern w:val="44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页边距统一设置为“上下左右各为2.5厘米”，纸张方向可根据正文内容设置为横向或纵向。段落行距统一设定为 “固定值”28磅。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bookmarkStart w:id="24" w:name="_Toc486801192"/>
      <w:bookmarkStart w:id="25" w:name="_Toc486801741"/>
      <w:bookmarkStart w:id="26" w:name="_Toc486796979"/>
      <w:bookmarkStart w:id="27" w:name="_Toc486795625"/>
      <w:bookmarkStart w:id="28" w:name="_Toc486801677"/>
      <w:bookmarkStart w:id="29" w:name="_Toc486796764"/>
      <w:bookmarkStart w:id="30" w:name="_Toc486795945"/>
      <w:bookmarkStart w:id="31" w:name="_Toc486795829"/>
      <w:r>
        <w:rPr>
          <w:rFonts w:eastAsia="黑体"/>
          <w:bCs/>
          <w:kern w:val="44"/>
          <w:sz w:val="32"/>
          <w:szCs w:val="32"/>
        </w:rPr>
        <w:t>三、方案装订要求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="黑体"/>
          <w:bCs/>
          <w:kern w:val="44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正文用A4纸双面黑白打印，封面和封底使用白色布纹纸，胶装。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bookmarkStart w:id="32" w:name="_Toc486801193"/>
      <w:bookmarkStart w:id="33" w:name="_Toc486796765"/>
      <w:bookmarkStart w:id="34" w:name="_Toc486795830"/>
      <w:bookmarkStart w:id="35" w:name="_Toc486795626"/>
      <w:bookmarkStart w:id="36" w:name="_Toc486796980"/>
      <w:bookmarkStart w:id="37" w:name="_Toc486801742"/>
      <w:bookmarkStart w:id="38" w:name="_Toc486801678"/>
      <w:bookmarkStart w:id="39" w:name="_Toc486795946"/>
      <w:r>
        <w:rPr>
          <w:rFonts w:eastAsia="黑体"/>
          <w:bCs/>
          <w:kern w:val="44"/>
          <w:sz w:val="32"/>
          <w:szCs w:val="32"/>
        </w:rPr>
        <w:t>四、目录：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eastAsia="仿宋_GB2312"/>
          <w:sz w:val="32"/>
          <w:szCs w:val="32"/>
        </w:rPr>
        <w:t>列出二级标题，并附页码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bookmarkStart w:id="40" w:name="_Toc486795831"/>
      <w:bookmarkStart w:id="41" w:name="_Toc486796981"/>
      <w:bookmarkStart w:id="42" w:name="_Toc486795947"/>
      <w:bookmarkStart w:id="43" w:name="_Toc486796766"/>
      <w:bookmarkStart w:id="44" w:name="_Toc486801194"/>
      <w:bookmarkStart w:id="45" w:name="_Toc486801679"/>
      <w:bookmarkStart w:id="46" w:name="_Toc486795627"/>
      <w:bookmarkStart w:id="47" w:name="_Toc486801743"/>
      <w:r>
        <w:rPr>
          <w:rFonts w:eastAsia="黑体"/>
          <w:bCs/>
          <w:kern w:val="44"/>
          <w:sz w:val="32"/>
          <w:szCs w:val="32"/>
        </w:rPr>
        <w:t>五、附件：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eastAsia="仿宋_GB2312"/>
          <w:sz w:val="32"/>
          <w:szCs w:val="32"/>
        </w:rPr>
        <w:t>证明材料复印件要清晰可认，支撑正文内容有力。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实施</w:t>
      </w:r>
      <w:r>
        <w:rPr>
          <w:rFonts w:eastAsia="方正小标宋_GBK"/>
          <w:sz w:val="44"/>
          <w:szCs w:val="44"/>
        </w:rPr>
        <w:t>方案编制大纲</w:t>
      </w: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 总则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一、实施目的</w:t>
      </w:r>
      <w:r>
        <w:rPr>
          <w:rFonts w:eastAsia="楷体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二、方案概况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集聚区发展</w:t>
      </w:r>
      <w:r>
        <w:rPr>
          <w:rFonts w:eastAsia="仿宋_GB2312"/>
          <w:b/>
          <w:bCs/>
          <w:sz w:val="32"/>
          <w:szCs w:val="32"/>
        </w:rPr>
        <w:t>基本情况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（二）申报类别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（三）申报条件对照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三、编制依据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第二章  </w:t>
      </w:r>
      <w:r>
        <w:rPr>
          <w:rFonts w:hint="eastAsia" w:eastAsia="黑体"/>
          <w:sz w:val="32"/>
          <w:szCs w:val="32"/>
          <w:lang w:val="en-US" w:eastAsia="zh-CN"/>
        </w:rPr>
        <w:t>集聚</w:t>
      </w:r>
      <w:r>
        <w:rPr>
          <w:rFonts w:eastAsia="黑体"/>
          <w:sz w:val="32"/>
          <w:szCs w:val="32"/>
        </w:rPr>
        <w:t>区现状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一、所在区域概况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二、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集聚</w:t>
      </w:r>
      <w:r>
        <w:rPr>
          <w:rFonts w:eastAsia="楷体_GB2312"/>
          <w:b/>
          <w:bCs/>
          <w:sz w:val="32"/>
          <w:szCs w:val="32"/>
        </w:rPr>
        <w:t>区现状位置、范围及面积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三、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集聚</w:t>
      </w:r>
      <w:r>
        <w:rPr>
          <w:rFonts w:eastAsia="楷体_GB2312"/>
          <w:b/>
          <w:bCs/>
          <w:sz w:val="32"/>
          <w:szCs w:val="32"/>
        </w:rPr>
        <w:t>区建设现状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四、管理机构设置和运营机制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（一）管理机构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（二）运行机制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五、基础设施情况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（一）所在区域基础设施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集聚</w:t>
      </w:r>
      <w:r>
        <w:rPr>
          <w:rFonts w:eastAsia="仿宋_GB2312"/>
          <w:b/>
          <w:bCs/>
          <w:sz w:val="32"/>
          <w:szCs w:val="32"/>
        </w:rPr>
        <w:t>区基础设施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六、公共服务平台情况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（一）所在区域营商环境及政务服务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集聚</w:t>
      </w:r>
      <w:r>
        <w:rPr>
          <w:rFonts w:eastAsia="仿宋_GB2312"/>
          <w:b/>
          <w:bCs/>
          <w:sz w:val="32"/>
          <w:szCs w:val="32"/>
        </w:rPr>
        <w:t>区公共服务平台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第三章  </w:t>
      </w:r>
      <w:r>
        <w:rPr>
          <w:rFonts w:hint="eastAsia" w:eastAsia="黑体"/>
          <w:sz w:val="32"/>
          <w:szCs w:val="32"/>
          <w:lang w:val="en-US" w:eastAsia="zh-CN"/>
        </w:rPr>
        <w:t>集聚</w:t>
      </w:r>
      <w:r>
        <w:rPr>
          <w:rFonts w:eastAsia="黑体"/>
          <w:sz w:val="32"/>
          <w:szCs w:val="32"/>
        </w:rPr>
        <w:t>区运营及企业情况</w:t>
      </w:r>
      <w:r>
        <w:rPr>
          <w:rFonts w:eastAsia="黑体"/>
          <w:sz w:val="32"/>
          <w:szCs w:val="32"/>
        </w:rPr>
        <w:tab/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一、主导产业情况及上一年度园区营业收入（产值）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二、入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驻</w:t>
      </w:r>
      <w:r>
        <w:rPr>
          <w:rFonts w:eastAsia="楷体_GB2312"/>
          <w:b/>
          <w:bCs/>
          <w:sz w:val="32"/>
          <w:szCs w:val="32"/>
        </w:rPr>
        <w:t>企业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三、主要代表性企业运营情况</w:t>
      </w:r>
      <w:r>
        <w:rPr>
          <w:rFonts w:eastAsia="楷体_GB2312"/>
          <w:b/>
          <w:bCs/>
          <w:sz w:val="32"/>
          <w:szCs w:val="32"/>
        </w:rPr>
        <w:tab/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第四章  </w:t>
      </w:r>
      <w:r>
        <w:rPr>
          <w:rFonts w:hint="eastAsia" w:eastAsia="黑体"/>
          <w:sz w:val="32"/>
          <w:szCs w:val="32"/>
          <w:lang w:val="en-US" w:eastAsia="zh-CN"/>
        </w:rPr>
        <w:t>集聚</w:t>
      </w:r>
      <w:r>
        <w:rPr>
          <w:rFonts w:eastAsia="黑体"/>
          <w:sz w:val="32"/>
          <w:szCs w:val="32"/>
        </w:rPr>
        <w:t>区发展规划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一、指导思想和发展原则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（一）指导思想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（二）发展原则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二、发展目标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（一）总体目标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建设期间及</w:t>
      </w:r>
      <w:r>
        <w:rPr>
          <w:rFonts w:eastAsia="仿宋_GB2312"/>
          <w:b/>
          <w:bCs/>
          <w:sz w:val="32"/>
          <w:szCs w:val="32"/>
        </w:rPr>
        <w:t>分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阶段</w:t>
      </w:r>
      <w:r>
        <w:rPr>
          <w:rFonts w:eastAsia="仿宋_GB2312"/>
          <w:b/>
          <w:bCs/>
          <w:sz w:val="32"/>
          <w:szCs w:val="32"/>
        </w:rPr>
        <w:t>计划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三、规划区域及面积</w:t>
      </w:r>
      <w:r>
        <w:rPr>
          <w:rFonts w:eastAsia="楷体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四、发展定位及业态发展方向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（一）发展定位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（二）发展方向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（三）发展思路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五、功能布局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（一）******区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（二）******区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（三）******区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……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六、招商引资情况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（一）招商引资总体情况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（二）招商引资典型案例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（三）招商引资思路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七、在建和谋划的重大项目情况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（一）******（在建）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（二）******（谋划）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（三）……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（四）……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八、保障措施（不限于子目录内容）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（一）运行管理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（二）重点企业扶持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（三）政策支持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（四）体制机制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（五）人才建设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（六）招商引资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（七）融资渠道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……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第五章  申报</w:t>
      </w:r>
      <w:r>
        <w:rPr>
          <w:rFonts w:hint="eastAsia" w:eastAsia="黑体"/>
          <w:sz w:val="32"/>
          <w:szCs w:val="32"/>
          <w:lang w:eastAsia="zh-CN"/>
        </w:rPr>
        <w:t>区</w:t>
      </w:r>
      <w:r>
        <w:rPr>
          <w:rFonts w:eastAsia="黑体"/>
          <w:sz w:val="32"/>
          <w:szCs w:val="32"/>
        </w:rPr>
        <w:t>级服务业集聚区的优势和条件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一、实施背景及必要性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（一）实施背景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（二）必要性</w:t>
      </w:r>
    </w:p>
    <w:p>
      <w:pPr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二、申报优势及条件（不限于子目录内容）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（一）特色优势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（二）交通区位优势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（三）运营管理优势</w:t>
      </w:r>
      <w:r>
        <w:rPr>
          <w:rFonts w:eastAsia="仿宋_GB2312"/>
          <w:b/>
          <w:bCs/>
          <w:sz w:val="32"/>
          <w:szCs w:val="32"/>
        </w:rPr>
        <w:tab/>
      </w:r>
    </w:p>
    <w:p>
      <w:pPr>
        <w:ind w:left="630" w:left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（四）产业集聚优势</w:t>
      </w:r>
      <w:r>
        <w:rPr>
          <w:rFonts w:eastAsia="仿宋_GB2312"/>
          <w:b/>
          <w:bCs/>
          <w:sz w:val="32"/>
          <w:szCs w:val="32"/>
        </w:rPr>
        <w:br w:type="textWrapping"/>
      </w:r>
      <w:r>
        <w:rPr>
          <w:rFonts w:eastAsia="仿宋_GB2312"/>
          <w:b/>
          <w:bCs/>
          <w:sz w:val="32"/>
          <w:szCs w:val="32"/>
        </w:rPr>
        <w:t>（五）创新发展优势</w:t>
      </w:r>
    </w:p>
    <w:p>
      <w:pPr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……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一、设立集聚区管理机构的政府批件及管理机构情况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三、土地批复文件或租赁合同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四、入驻企业名录及</w:t>
      </w:r>
      <w:r>
        <w:rPr>
          <w:rFonts w:hint="eastAsia" w:eastAsia="黑体"/>
          <w:sz w:val="32"/>
          <w:szCs w:val="32"/>
          <w:lang w:val="en-US" w:eastAsia="zh-CN"/>
        </w:rPr>
        <w:t>企业营业执照、入统企业财务报表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五、基础设施及公共服务平台体系建设情况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  <w:lang w:val="en-US" w:eastAsia="zh-CN"/>
        </w:rPr>
        <w:t>申报单位</w:t>
      </w:r>
      <w:r>
        <w:rPr>
          <w:rFonts w:eastAsia="黑体"/>
          <w:sz w:val="32"/>
          <w:szCs w:val="32"/>
        </w:rPr>
        <w:t>真实性承诺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七、</w:t>
      </w:r>
      <w:r>
        <w:rPr>
          <w:rFonts w:hint="eastAsia" w:eastAsia="黑体"/>
          <w:sz w:val="32"/>
          <w:szCs w:val="32"/>
          <w:lang w:val="en-US" w:eastAsia="zh-CN"/>
        </w:rPr>
        <w:t>申报单位通过“信用山西”下载信用报告</w:t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八、</w:t>
      </w:r>
      <w:r>
        <w:rPr>
          <w:rFonts w:eastAsia="黑体"/>
          <w:sz w:val="32"/>
          <w:szCs w:val="32"/>
        </w:rPr>
        <w:t>其他材料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FFF454-6E9B-4E52-AC9B-84297CFE02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E65DA1-6BA2-475D-95B8-4116538C599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8766179-96DF-4AEB-8BE5-13951CCB493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9EF564-8270-4DD6-BD2E-37CEF482E2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8CBD367-D424-4056-8539-64FD67E9BA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MyZDhjNTRiMTVhY2E3ZjgwZmYwNjViYTkyYzg3MGMifQ=="/>
  </w:docVars>
  <w:rsids>
    <w:rsidRoot w:val="00CD231D"/>
    <w:rsid w:val="00023B6A"/>
    <w:rsid w:val="000B4A7B"/>
    <w:rsid w:val="0010106B"/>
    <w:rsid w:val="00105AE1"/>
    <w:rsid w:val="00123CC4"/>
    <w:rsid w:val="001546AD"/>
    <w:rsid w:val="0018564B"/>
    <w:rsid w:val="001D7B22"/>
    <w:rsid w:val="001E174F"/>
    <w:rsid w:val="001E4500"/>
    <w:rsid w:val="00265577"/>
    <w:rsid w:val="00297993"/>
    <w:rsid w:val="002B10A7"/>
    <w:rsid w:val="002C75F9"/>
    <w:rsid w:val="002D19C2"/>
    <w:rsid w:val="002F68D1"/>
    <w:rsid w:val="0031361D"/>
    <w:rsid w:val="0032279A"/>
    <w:rsid w:val="003448E2"/>
    <w:rsid w:val="00350DA4"/>
    <w:rsid w:val="00364589"/>
    <w:rsid w:val="0037447A"/>
    <w:rsid w:val="003909B6"/>
    <w:rsid w:val="003B24CC"/>
    <w:rsid w:val="003B33A1"/>
    <w:rsid w:val="003B47B9"/>
    <w:rsid w:val="003D23E0"/>
    <w:rsid w:val="003E1D71"/>
    <w:rsid w:val="00407A13"/>
    <w:rsid w:val="00432AAB"/>
    <w:rsid w:val="00477D81"/>
    <w:rsid w:val="00505779"/>
    <w:rsid w:val="0052146E"/>
    <w:rsid w:val="00541103"/>
    <w:rsid w:val="005863D9"/>
    <w:rsid w:val="00616492"/>
    <w:rsid w:val="00636A99"/>
    <w:rsid w:val="006904F5"/>
    <w:rsid w:val="006E3BB7"/>
    <w:rsid w:val="007051E6"/>
    <w:rsid w:val="0070597F"/>
    <w:rsid w:val="00716F94"/>
    <w:rsid w:val="0074530E"/>
    <w:rsid w:val="00753F56"/>
    <w:rsid w:val="007934EC"/>
    <w:rsid w:val="007B41F8"/>
    <w:rsid w:val="007C6221"/>
    <w:rsid w:val="007C6E7A"/>
    <w:rsid w:val="00834534"/>
    <w:rsid w:val="008B65FB"/>
    <w:rsid w:val="008C0604"/>
    <w:rsid w:val="008C5B9C"/>
    <w:rsid w:val="00905A6F"/>
    <w:rsid w:val="009164C6"/>
    <w:rsid w:val="009403F3"/>
    <w:rsid w:val="00963891"/>
    <w:rsid w:val="009676AA"/>
    <w:rsid w:val="0097116A"/>
    <w:rsid w:val="00993464"/>
    <w:rsid w:val="00994799"/>
    <w:rsid w:val="009D1906"/>
    <w:rsid w:val="009D1DEA"/>
    <w:rsid w:val="009E0E47"/>
    <w:rsid w:val="009E25CA"/>
    <w:rsid w:val="00A6744D"/>
    <w:rsid w:val="00A81DA1"/>
    <w:rsid w:val="00A82406"/>
    <w:rsid w:val="00A877E2"/>
    <w:rsid w:val="00B014FC"/>
    <w:rsid w:val="00B340C7"/>
    <w:rsid w:val="00B34F53"/>
    <w:rsid w:val="00BE5BD9"/>
    <w:rsid w:val="00BE6876"/>
    <w:rsid w:val="00C11AD1"/>
    <w:rsid w:val="00C21630"/>
    <w:rsid w:val="00C233A8"/>
    <w:rsid w:val="00C47CF9"/>
    <w:rsid w:val="00C91133"/>
    <w:rsid w:val="00CD231D"/>
    <w:rsid w:val="00D05C28"/>
    <w:rsid w:val="00D1181E"/>
    <w:rsid w:val="00D538DE"/>
    <w:rsid w:val="00D67D53"/>
    <w:rsid w:val="00DC6D2E"/>
    <w:rsid w:val="00E02419"/>
    <w:rsid w:val="00E054FF"/>
    <w:rsid w:val="00E26F2D"/>
    <w:rsid w:val="00E65DE2"/>
    <w:rsid w:val="00F150EB"/>
    <w:rsid w:val="00F57151"/>
    <w:rsid w:val="00F70369"/>
    <w:rsid w:val="00F73AAF"/>
    <w:rsid w:val="00F74697"/>
    <w:rsid w:val="00F758C3"/>
    <w:rsid w:val="00F80727"/>
    <w:rsid w:val="00FF6894"/>
    <w:rsid w:val="012C0607"/>
    <w:rsid w:val="11786082"/>
    <w:rsid w:val="158A1533"/>
    <w:rsid w:val="17824A16"/>
    <w:rsid w:val="18396DDA"/>
    <w:rsid w:val="18C30FC0"/>
    <w:rsid w:val="1E666FAC"/>
    <w:rsid w:val="24123E5F"/>
    <w:rsid w:val="28D27231"/>
    <w:rsid w:val="2C537221"/>
    <w:rsid w:val="305A5679"/>
    <w:rsid w:val="308E0201"/>
    <w:rsid w:val="317C3795"/>
    <w:rsid w:val="34843AE0"/>
    <w:rsid w:val="40205EA7"/>
    <w:rsid w:val="4FEC1750"/>
    <w:rsid w:val="60635627"/>
    <w:rsid w:val="616101FD"/>
    <w:rsid w:val="679B6680"/>
    <w:rsid w:val="6C324065"/>
    <w:rsid w:val="73593C2D"/>
    <w:rsid w:val="760B0723"/>
    <w:rsid w:val="76D72F06"/>
    <w:rsid w:val="77291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&#24180;\2020&#24180;&#27169;&#26495;\&#24179;&#34892;&#25991;&#65288;2020&#24180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平行文（2020年）.dotx</Template>
  <Company>微软中国</Company>
  <Pages>6</Pages>
  <Words>1199</Words>
  <Characters>1281</Characters>
  <Lines>19</Lines>
  <Paragraphs>5</Paragraphs>
  <TotalTime>0</TotalTime>
  <ScaleCrop>false</ScaleCrop>
  <LinksUpToDate>false</LinksUpToDate>
  <CharactersWithSpaces>1389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2020-09-09T00:41:00Z</dcterms:created>
  <dc:creator>胡昱阳</dc:creator>
  <cp:lastModifiedBy>尹丽霞</cp:lastModifiedBy>
  <cp:lastPrinted>2021-11-08T09:36:00Z</cp:lastPrinted>
  <dcterms:modified xsi:type="dcterms:W3CDTF">2023-06-07T07:30:29Z</dcterms:modified>
  <dc:title>发改　〔2011〕　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DE79B4FCDA9849F081871446A3A6C24D_12</vt:lpwstr>
  </property>
</Properties>
</file>