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color w:val="000000"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44"/>
          <w:sz w:val="32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000000"/>
          <w:kern w:val="44"/>
          <w:sz w:val="32"/>
          <w:szCs w:val="24"/>
          <w:highlight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32"/>
          <w:szCs w:val="24"/>
          <w:highlight w:val="none"/>
          <w:lang w:val="en-US" w:eastAsia="zh-CN" w:bidi="ar-SA"/>
        </w:rPr>
        <w:t>山西综改示范区限下企业统计调查表（表号并SF302）</w:t>
      </w:r>
    </w:p>
    <w:tbl>
      <w:tblPr>
        <w:tblStyle w:val="6"/>
        <w:tblpPr w:leftFromText="180" w:rightFromText="180" w:vertAnchor="text" w:horzAnchor="page" w:tblpX="1236" w:tblpY="527"/>
        <w:tblOverlap w:val="never"/>
        <w:tblW w:w="14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2100"/>
        <w:gridCol w:w="1680"/>
        <w:gridCol w:w="1260"/>
        <w:gridCol w:w="1260"/>
        <w:gridCol w:w="1470"/>
        <w:gridCol w:w="147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山西综改示范区限下企业统计调查表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  号：并SF302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制定机关：山西转型综合改革示范区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批准文号：并统函[2023]A1号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有效期至：2023年12月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44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112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尚未领取统一社会信用代码的填写原组织机构代码：</w:t>
            </w:r>
          </w:p>
        </w:tc>
        <w:tc>
          <w:tcPr>
            <w:tcW w:w="112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2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行业类别：</w:t>
            </w:r>
          </w:p>
        </w:tc>
        <w:tc>
          <w:tcPr>
            <w:tcW w:w="112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上年同期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同月止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一、主要经济指标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工业总产值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建筑业总产值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营业收入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808"/>
              </w:tabs>
              <w:jc w:val="both"/>
              <w:rPr>
                <w:rFonts w:hint="default" w:ascii="Arial" w:hAnsi="Arial" w:eastAsia="仿宋_GB2312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...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87E1AA8"/>
    <w:rsid w:val="265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