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Times New Roman"/>
          <w:color w:val="000000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44"/>
          <w:sz w:val="32"/>
          <w:szCs w:val="24"/>
          <w:highlight w:val="none"/>
          <w:lang w:val="en-US" w:eastAsia="zh-CN" w:bidi="ar-SA"/>
        </w:rPr>
        <w:t>附件</w:t>
      </w:r>
      <w:r>
        <w:rPr>
          <w:rFonts w:hint="eastAsia" w:ascii="宋体" w:hAnsi="宋体" w:eastAsia="宋体" w:cs="宋体"/>
          <w:color w:val="000000"/>
          <w:kern w:val="44"/>
          <w:sz w:val="32"/>
          <w:szCs w:val="24"/>
          <w:highlight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44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2"/>
          <w:szCs w:val="24"/>
          <w:highlight w:val="none"/>
          <w:lang w:val="en-US" w:eastAsia="zh-CN" w:bidi="ar-SA"/>
        </w:rPr>
        <w:t>山西综改示范区限下企业统计调查表（表号并SF302）</w:t>
      </w:r>
    </w:p>
    <w:tbl>
      <w:tblPr>
        <w:tblStyle w:val="6"/>
        <w:tblpPr w:leftFromText="180" w:rightFromText="180" w:vertAnchor="text" w:horzAnchor="page" w:tblpX="1236" w:tblpY="527"/>
        <w:tblOverlap w:val="never"/>
        <w:tblW w:w="14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2100"/>
        <w:gridCol w:w="1680"/>
        <w:gridCol w:w="1260"/>
        <w:gridCol w:w="1260"/>
        <w:gridCol w:w="1470"/>
        <w:gridCol w:w="147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山西综改示范区限下企业统计调查表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  号：并SF302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制定机关：山西转型综合改革示范区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批准文号：并统函[2023]A1号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有效期至：2023年12月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47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7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统一社会信用代码：</w:t>
            </w:r>
          </w:p>
        </w:tc>
        <w:tc>
          <w:tcPr>
            <w:tcW w:w="112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尚未领取统一社会信用代码的填写原组织机构代码：</w:t>
            </w:r>
          </w:p>
        </w:tc>
        <w:tc>
          <w:tcPr>
            <w:tcW w:w="112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12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行业类别：</w:t>
            </w:r>
          </w:p>
        </w:tc>
        <w:tc>
          <w:tcPr>
            <w:tcW w:w="112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同月止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一、主要经济指标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工业总产值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建筑业总产值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营业收入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808"/>
              </w:tabs>
              <w:jc w:val="both"/>
              <w:rPr>
                <w:rFonts w:hint="default" w:ascii="Arial" w:hAnsi="Arial" w:eastAsia="仿宋_GB2312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...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06204EEF"/>
    <w:rsid w:val="187E1AA8"/>
    <w:rsid w:val="265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