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950E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 w14:paraId="563AECA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/>
          <w:sz w:val="40"/>
          <w:szCs w:val="28"/>
          <w:highlight w:val="none"/>
          <w:lang w:val="en-US" w:eastAsia="zh-CN"/>
        </w:rPr>
      </w:pPr>
      <w:r>
        <w:rPr>
          <w:rFonts w:hint="default"/>
          <w:sz w:val="40"/>
          <w:szCs w:val="28"/>
          <w:highlight w:val="none"/>
          <w:lang w:val="en-US" w:eastAsia="zh-CN"/>
        </w:rPr>
        <w:t>202</w:t>
      </w:r>
      <w:r>
        <w:rPr>
          <w:rFonts w:hint="eastAsia"/>
          <w:sz w:val="40"/>
          <w:szCs w:val="28"/>
          <w:highlight w:val="none"/>
          <w:lang w:val="en-US" w:eastAsia="zh-CN"/>
        </w:rPr>
        <w:t>5</w:t>
      </w:r>
      <w:r>
        <w:rPr>
          <w:rFonts w:hint="default"/>
          <w:sz w:val="40"/>
          <w:szCs w:val="28"/>
          <w:highlight w:val="none"/>
          <w:lang w:val="en-US" w:eastAsia="zh-CN"/>
        </w:rPr>
        <w:t>年产业园区</w:t>
      </w:r>
      <w:r>
        <w:rPr>
          <w:rFonts w:hint="eastAsia"/>
          <w:sz w:val="40"/>
          <w:szCs w:val="28"/>
          <w:highlight w:val="none"/>
          <w:lang w:val="en-US" w:eastAsia="zh-CN"/>
        </w:rPr>
        <w:t>推进新型工业化典型</w:t>
      </w:r>
      <w:r>
        <w:rPr>
          <w:rFonts w:hint="default"/>
          <w:sz w:val="40"/>
          <w:szCs w:val="28"/>
          <w:highlight w:val="none"/>
          <w:lang w:val="en-US" w:eastAsia="zh-CN"/>
        </w:rPr>
        <w:t>案例</w:t>
      </w:r>
      <w:r>
        <w:rPr>
          <w:rFonts w:hint="eastAsia"/>
          <w:sz w:val="40"/>
          <w:szCs w:val="28"/>
          <w:highlight w:val="none"/>
          <w:lang w:val="en-US" w:eastAsia="zh-CN"/>
        </w:rPr>
        <w:t>申报书</w:t>
      </w:r>
    </w:p>
    <w:p w14:paraId="4ED62F6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sz w:val="40"/>
          <w:szCs w:val="28"/>
          <w:highlight w:val="none"/>
          <w:lang w:val="en-US" w:eastAsia="zh-CN"/>
        </w:rPr>
      </w:pPr>
      <w:r>
        <w:rPr>
          <w:rFonts w:hint="eastAsia"/>
          <w:sz w:val="40"/>
          <w:szCs w:val="28"/>
          <w:highlight w:val="none"/>
          <w:lang w:val="en-US" w:eastAsia="zh-CN"/>
        </w:rPr>
        <w:t>填报说明</w:t>
      </w:r>
    </w:p>
    <w:p w14:paraId="3FFF42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材料报送要求</w:t>
      </w:r>
    </w:p>
    <w:p w14:paraId="2727F8C3">
      <w:pPr>
        <w:pStyle w:val="3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送《2025年产业园区推进新型工业化典型案例申报书》（以下简称《申报书》）时，需同时报送可编辑版、加盖产业园区管理机构公章的盖章版等两套材料。其中，盖章版材料除在《申报书》规定处盖章外，还需加盖骑缝章。</w:t>
      </w:r>
    </w:p>
    <w:p w14:paraId="139A9D79">
      <w:pPr>
        <w:pStyle w:val="3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《申报书》文件按照“案例类别-园区名称”的格式命名</w:t>
      </w:r>
      <w:r>
        <w:rPr>
          <w:rFonts w:hint="default"/>
          <w:lang w:val="en-US" w:eastAsia="zh-CN"/>
        </w:rPr>
        <w:t>。</w:t>
      </w:r>
    </w:p>
    <w:p w14:paraId="25C2630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案例名称说明</w:t>
      </w:r>
    </w:p>
    <w:p w14:paraId="7E8C2334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案例名称要</w:t>
      </w:r>
      <w:r>
        <w:rPr>
          <w:rFonts w:hint="default"/>
          <w:lang w:val="en-US" w:eastAsia="zh-CN"/>
        </w:rPr>
        <w:t>突出所选择的案例方向和案例特色亮点</w:t>
      </w:r>
      <w:r>
        <w:rPr>
          <w:rFonts w:hint="eastAsia"/>
          <w:lang w:val="en-US" w:eastAsia="zh-CN"/>
        </w:rPr>
        <w:t>。示例：实数融合方向案例名</w:t>
      </w:r>
      <w:r>
        <w:rPr>
          <w:rFonts w:hint="eastAsia"/>
          <w:highlight w:val="none"/>
          <w:lang w:val="en-US" w:eastAsia="zh-CN"/>
        </w:rPr>
        <w:t>称《依托数字化建设，打造运行高效的“园区大脑”》。</w:t>
      </w:r>
    </w:p>
    <w:p w14:paraId="578F3F9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产业领域说明</w:t>
      </w:r>
    </w:p>
    <w:p w14:paraId="33EF0D21">
      <w:pPr>
        <w:pStyle w:val="3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产业园区的主导产业包括但不限于《国民经济行业分类》（GB/T4754-2017）中的“制造业”和“信息传输、软件和信息技术服务业”门类，及“科学研究和技术服务业”门类下的相关生产性服务业类别，具体参考《国民经济行业分类》（GB/T4754-2017）填报，门类及大类对应情况见下表。</w:t>
      </w:r>
    </w:p>
    <w:p w14:paraId="094F7A43">
      <w:pPr>
        <w:pStyle w:val="3"/>
        <w:keepNext/>
        <w:pageBreakBefore/>
        <w:spacing w:line="240" w:lineRule="auto"/>
        <w:ind w:firstLine="0" w:firstLineChars="0"/>
        <w:jc w:val="center"/>
        <w:rPr>
          <w:rFonts w:hint="default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eastAsia="黑体" w:cs="Times New Roman"/>
          <w:sz w:val="24"/>
          <w:szCs w:val="24"/>
          <w:highlight w:val="none"/>
          <w:lang w:val="en-US" w:eastAsia="zh-CN"/>
        </w:rPr>
        <w:t>表1 《国民经济行业分类》中制造业；信息传输、软件和信息技术服务业；科学研究和技术服务业等门类对应大类情况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6661"/>
      </w:tblGrid>
      <w:tr w14:paraId="3CAE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400" w:type="dxa"/>
            <w:shd w:val="clear" w:color="auto" w:fill="E7E6E6" w:themeFill="background2"/>
            <w:vAlign w:val="center"/>
          </w:tcPr>
          <w:p w14:paraId="67D209B0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6661" w:type="dxa"/>
            <w:shd w:val="clear" w:color="auto" w:fill="E7E6E6" w:themeFill="background2"/>
            <w:vAlign w:val="center"/>
          </w:tcPr>
          <w:p w14:paraId="5AD18ABA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大类</w:t>
            </w:r>
          </w:p>
        </w:tc>
      </w:tr>
      <w:tr w14:paraId="1747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restart"/>
            <w:vAlign w:val="center"/>
          </w:tcPr>
          <w:p w14:paraId="2174265F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  <w:t>制造业</w:t>
            </w:r>
          </w:p>
        </w:tc>
        <w:tc>
          <w:tcPr>
            <w:tcW w:w="6661" w:type="dxa"/>
            <w:vAlign w:val="center"/>
          </w:tcPr>
          <w:p w14:paraId="39568535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农副食品加工业</w:t>
            </w:r>
          </w:p>
        </w:tc>
      </w:tr>
      <w:tr w14:paraId="1631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204C354D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2267E735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食品制造业</w:t>
            </w:r>
          </w:p>
        </w:tc>
      </w:tr>
      <w:tr w14:paraId="500A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604F4390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476FE389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酒、饮料和精制茶制造业</w:t>
            </w:r>
          </w:p>
        </w:tc>
      </w:tr>
      <w:tr w14:paraId="52ED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0FE3404D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64921BE2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烟草制品业</w:t>
            </w:r>
          </w:p>
        </w:tc>
      </w:tr>
      <w:tr w14:paraId="14B7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3FE07917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6BE64901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纺织业</w:t>
            </w:r>
          </w:p>
        </w:tc>
      </w:tr>
      <w:tr w14:paraId="5455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25C84AC5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24EA3FE2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纺织服装、服饰业</w:t>
            </w:r>
          </w:p>
        </w:tc>
      </w:tr>
      <w:tr w14:paraId="0899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22476568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63E63B70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皮革、毛皮、羽毛及其制品和制鞋业</w:t>
            </w:r>
          </w:p>
        </w:tc>
      </w:tr>
      <w:tr w14:paraId="0AD3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52079E3E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6A08874A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木材加工和木、竹、藤、棕、草制品业</w:t>
            </w:r>
          </w:p>
        </w:tc>
      </w:tr>
      <w:tr w14:paraId="60C6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5C35BD56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67063326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家具制造业</w:t>
            </w:r>
          </w:p>
        </w:tc>
      </w:tr>
      <w:tr w14:paraId="7ED0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0B86562C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3111ECF9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造纸和纸制品业</w:t>
            </w:r>
          </w:p>
        </w:tc>
      </w:tr>
      <w:tr w14:paraId="7F09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67C0E875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7E2731C2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印刷和记录媒介复制业</w:t>
            </w:r>
          </w:p>
        </w:tc>
      </w:tr>
      <w:tr w14:paraId="3442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667892C9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216BF5EC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文教、工美、体育和娱乐用品制造业</w:t>
            </w:r>
          </w:p>
        </w:tc>
      </w:tr>
      <w:tr w14:paraId="7708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22EE759B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08D9AA40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石油、煤炭及其他燃料加工业</w:t>
            </w:r>
          </w:p>
        </w:tc>
      </w:tr>
      <w:tr w14:paraId="2754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68E5A290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27EA5706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化学原料和化学制品制造业</w:t>
            </w:r>
          </w:p>
        </w:tc>
      </w:tr>
      <w:tr w14:paraId="0254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412F08DB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3379D5B4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医药制造业</w:t>
            </w:r>
          </w:p>
        </w:tc>
      </w:tr>
      <w:tr w14:paraId="3E87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2C971CE8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7B80CE74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化学纤维制造业</w:t>
            </w:r>
          </w:p>
        </w:tc>
      </w:tr>
      <w:tr w14:paraId="08BC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1B76EF64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035C348F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橡胶和塑料制品业</w:t>
            </w:r>
          </w:p>
        </w:tc>
      </w:tr>
      <w:tr w14:paraId="15CD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75BAA95D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38E3A6A0">
            <w:pPr>
              <w:spacing w:beforeLines="0" w:afterLines="0"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非金属矿物制品业</w:t>
            </w:r>
          </w:p>
        </w:tc>
      </w:tr>
      <w:tr w14:paraId="28AF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72A696B2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151162E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黑色金属冶炼和压延加工业</w:t>
            </w:r>
          </w:p>
        </w:tc>
      </w:tr>
      <w:tr w14:paraId="244E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5A65C4E2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42D1D4E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有色金属冶炼和压延加工业</w:t>
            </w:r>
          </w:p>
        </w:tc>
      </w:tr>
      <w:tr w14:paraId="404C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76AB6736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780CDB0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金属制品业</w:t>
            </w:r>
          </w:p>
        </w:tc>
      </w:tr>
      <w:tr w14:paraId="0DD4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4BC99CB9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4FAA98D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通用设备制造业</w:t>
            </w:r>
          </w:p>
        </w:tc>
      </w:tr>
      <w:tr w14:paraId="0DA0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09E980E6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07DFA58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专用设备制造业</w:t>
            </w:r>
          </w:p>
        </w:tc>
      </w:tr>
      <w:tr w14:paraId="193E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5E1BCEB9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389A282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汽车制造业</w:t>
            </w:r>
          </w:p>
        </w:tc>
      </w:tr>
      <w:tr w14:paraId="0410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2BEFAEFE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54C7335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铁路、船舶、航空航天和其他运输设备制造业</w:t>
            </w:r>
          </w:p>
        </w:tc>
      </w:tr>
      <w:tr w14:paraId="0901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79A4456C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60676C6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电气机械和器材制造业</w:t>
            </w:r>
          </w:p>
        </w:tc>
      </w:tr>
      <w:tr w14:paraId="3895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10674076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0AE7099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计算机、通信和其他电子设备制造业</w:t>
            </w:r>
          </w:p>
        </w:tc>
      </w:tr>
      <w:tr w14:paraId="7041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7407A688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229CEB1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仪器仪表制造业</w:t>
            </w:r>
          </w:p>
        </w:tc>
      </w:tr>
      <w:tr w14:paraId="4829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0C262DAF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0C2713A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其他制造业</w:t>
            </w:r>
          </w:p>
        </w:tc>
      </w:tr>
      <w:tr w14:paraId="0CE0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0303EAF8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55D221C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废弃资源综合利用业</w:t>
            </w:r>
          </w:p>
        </w:tc>
      </w:tr>
      <w:tr w14:paraId="0DEA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0DE7A5DD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2D5DC3A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金属制品、机械和设备修理业</w:t>
            </w:r>
          </w:p>
        </w:tc>
      </w:tr>
      <w:tr w14:paraId="4E6F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restart"/>
            <w:vAlign w:val="center"/>
          </w:tcPr>
          <w:p w14:paraId="02935B39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  <w:t>信息传输、软件和信息技术服务业</w:t>
            </w:r>
          </w:p>
        </w:tc>
        <w:tc>
          <w:tcPr>
            <w:tcW w:w="6661" w:type="dxa"/>
            <w:vAlign w:val="center"/>
          </w:tcPr>
          <w:p w14:paraId="6D3C778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电信、广播电视和卫星传输服务</w:t>
            </w:r>
          </w:p>
        </w:tc>
      </w:tr>
      <w:tr w14:paraId="11BD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58BB0FB1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2B926D7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互联网和相关服务</w:t>
            </w:r>
          </w:p>
        </w:tc>
      </w:tr>
      <w:tr w14:paraId="762D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798091AA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2B736BA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软件和信息技术服务业</w:t>
            </w:r>
          </w:p>
        </w:tc>
      </w:tr>
      <w:tr w14:paraId="2B4A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restart"/>
            <w:vAlign w:val="center"/>
          </w:tcPr>
          <w:p w14:paraId="6E1BE831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  <w:t>科学研究和技术服务业</w:t>
            </w:r>
          </w:p>
        </w:tc>
        <w:tc>
          <w:tcPr>
            <w:tcW w:w="6661" w:type="dxa"/>
            <w:vAlign w:val="center"/>
          </w:tcPr>
          <w:p w14:paraId="4F3B2E8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研究和试验发展</w:t>
            </w:r>
          </w:p>
        </w:tc>
      </w:tr>
      <w:tr w14:paraId="037C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1BE98A89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3CFC407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专业技术服务业</w:t>
            </w:r>
          </w:p>
        </w:tc>
      </w:tr>
      <w:tr w14:paraId="78FA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0" w:type="dxa"/>
            <w:vMerge w:val="continue"/>
            <w:vAlign w:val="center"/>
          </w:tcPr>
          <w:p w14:paraId="79E23797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vAlign w:val="center"/>
          </w:tcPr>
          <w:p w14:paraId="0D7936D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科技推广和应用服务业</w:t>
            </w:r>
          </w:p>
        </w:tc>
      </w:tr>
    </w:tbl>
    <w:p w14:paraId="32A2FCF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数据期说明</w:t>
      </w:r>
    </w:p>
    <w:p w14:paraId="0BAF7992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《申报书》中的指标数据期分为“截至2024年12月31日”、“2024年”、“2023年”、“近三年”等四类，根据《申报书》中对指标的数据期要求进行对应填报：</w:t>
      </w:r>
    </w:p>
    <w:p w14:paraId="174455B3"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“截至2024年12月31日”</w:t>
      </w:r>
      <w:r>
        <w:rPr>
          <w:rFonts w:hint="eastAsia"/>
          <w:lang w:val="en-US" w:eastAsia="zh-CN"/>
        </w:rPr>
        <w:t>为时点值；</w:t>
      </w:r>
    </w:p>
    <w:p w14:paraId="3028F773"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“2024年”</w:t>
      </w:r>
      <w:r>
        <w:rPr>
          <w:rFonts w:hint="eastAsia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“2023年”</w:t>
      </w:r>
      <w:r>
        <w:rPr>
          <w:rFonts w:hint="eastAsia"/>
          <w:lang w:val="en-US" w:eastAsia="zh-CN"/>
        </w:rPr>
        <w:t>为当年1月1日-12月31日的期间值；</w:t>
      </w:r>
    </w:p>
    <w:p w14:paraId="06B600C3"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“近三年”</w:t>
      </w:r>
      <w:r>
        <w:rPr>
          <w:rFonts w:hint="eastAsia"/>
          <w:lang w:val="en-US" w:eastAsia="zh-CN"/>
        </w:rPr>
        <w:t>为2022年1月1日-2024年12月31日的期间值。</w:t>
      </w:r>
    </w:p>
    <w:p w14:paraId="7896D331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统计口径说明</w:t>
      </w:r>
    </w:p>
    <w:p w14:paraId="08883FC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《申报书》中的指标统计口径分为“全口径”、“主导产业口径”、“规模以上企业口径”等三类，其中，《申报书》中所有</w:t>
      </w:r>
      <w:r>
        <w:rPr>
          <w:rFonts w:hint="eastAsia"/>
          <w:b/>
          <w:bCs/>
          <w:lang w:val="en-US" w:eastAsia="zh-CN"/>
        </w:rPr>
        <w:t>定量指标</w:t>
      </w:r>
      <w:r>
        <w:rPr>
          <w:rFonts w:hint="eastAsia"/>
          <w:lang w:val="en-US" w:eastAsia="zh-CN"/>
        </w:rPr>
        <w:t>根据指标名称进行对应填报，如名称中提到了“主导产业”“规模以上企业”等则对应填报主导产业口径、规模以上企业口径，如无特别说明的则统一填报全口径；《申报书》中所有</w:t>
      </w:r>
      <w:r>
        <w:rPr>
          <w:rFonts w:hint="eastAsia"/>
          <w:b/>
          <w:bCs/>
          <w:lang w:val="en-US" w:eastAsia="zh-CN"/>
        </w:rPr>
        <w:t>定性指标</w:t>
      </w:r>
      <w:r>
        <w:rPr>
          <w:rFonts w:hint="eastAsia"/>
          <w:lang w:val="en-US" w:eastAsia="zh-CN"/>
        </w:rPr>
        <w:t>按照</w:t>
      </w:r>
      <w:r>
        <w:rPr>
          <w:rFonts w:hint="eastAsia"/>
          <w:b/>
          <w:bCs/>
          <w:lang w:val="en-US" w:eastAsia="zh-CN"/>
        </w:rPr>
        <w:t>主导产业口径</w:t>
      </w:r>
      <w:r>
        <w:rPr>
          <w:rFonts w:hint="eastAsia"/>
          <w:lang w:val="en-US" w:eastAsia="zh-CN"/>
        </w:rPr>
        <w:t>填报：</w:t>
      </w:r>
    </w:p>
    <w:p w14:paraId="50C512B8"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“全口径”</w:t>
      </w:r>
      <w:r>
        <w:rPr>
          <w:rFonts w:hint="eastAsia"/>
          <w:lang w:val="en-US" w:eastAsia="zh-CN"/>
        </w:rPr>
        <w:t>为园区四至范围内所有企业相关指标总和；</w:t>
      </w:r>
    </w:p>
    <w:p w14:paraId="7298BE11"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“主导产业口径”</w:t>
      </w:r>
      <w:r>
        <w:rPr>
          <w:rFonts w:hint="eastAsia"/>
          <w:lang w:val="en-US" w:eastAsia="zh-CN"/>
        </w:rPr>
        <w:t>为根据《申报书》第一部分“基本情况”中填报的“主导产业”，在园区四至范围内以该主导产业为主营业务的企业产生、拥有或者生产所形成的数值或情况；</w:t>
      </w:r>
    </w:p>
    <w:p w14:paraId="2BC725E8"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“规模以上企业口径”</w:t>
      </w:r>
      <w:r>
        <w:rPr>
          <w:rFonts w:hint="eastAsia"/>
          <w:lang w:val="en-US" w:eastAsia="zh-CN"/>
        </w:rPr>
        <w:t>为园区四至范围内的规模以上企业。其中，规模以上工业：年主营业务收入2000万元及以上的工业法人单位；规模以上服务业：年营业收入2000万元及以上服务业法人单位，包括信息传输、软件和信息技术服务业等门类，年营业收入1000万元及以服务业法人单位，包括科学研究和技术服务业等门类。</w:t>
      </w:r>
    </w:p>
    <w:p w14:paraId="132DF78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填报内容说明</w:t>
      </w:r>
    </w:p>
    <w:p w14:paraId="06FA0662">
      <w:pPr>
        <w:pStyle w:val="3"/>
        <w:numPr>
          <w:ilvl w:val="0"/>
          <w:numId w:val="5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填报内容应完整准确、重点突出，所有信息</w:t>
      </w:r>
      <w:r>
        <w:rPr>
          <w:rFonts w:hint="default"/>
          <w:highlight w:val="none"/>
          <w:lang w:val="en-US" w:eastAsia="zh-CN"/>
        </w:rPr>
        <w:t>可公开发布</w:t>
      </w:r>
      <w:r>
        <w:rPr>
          <w:rFonts w:hint="eastAsia"/>
          <w:highlight w:val="none"/>
          <w:lang w:val="en-US" w:eastAsia="zh-CN"/>
        </w:rPr>
        <w:t>。</w:t>
      </w:r>
    </w:p>
    <w:p w14:paraId="19F9BD46">
      <w:pPr>
        <w:pStyle w:val="3"/>
        <w:numPr>
          <w:ilvl w:val="0"/>
          <w:numId w:val="5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如某一填报指标有多点内容需填写，请分点说明。</w:t>
      </w:r>
    </w:p>
    <w:p w14:paraId="1DE38A57">
      <w:pPr>
        <w:pStyle w:val="3"/>
        <w:numPr>
          <w:ilvl w:val="0"/>
          <w:numId w:val="5"/>
        </w:num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如涉及企业名称、技术名称等内容，</w:t>
      </w:r>
      <w:r>
        <w:rPr>
          <w:rFonts w:hint="eastAsia"/>
          <w:highlight w:val="none"/>
          <w:lang w:val="en-US" w:eastAsia="zh-CN"/>
        </w:rPr>
        <w:t>请</w:t>
      </w:r>
      <w:r>
        <w:rPr>
          <w:rFonts w:hint="default"/>
          <w:highlight w:val="none"/>
          <w:lang w:val="en-US" w:eastAsia="zh-CN"/>
        </w:rPr>
        <w:t>提供完整全称。</w:t>
      </w:r>
    </w:p>
    <w:p w14:paraId="5F819CF0">
      <w:pPr>
        <w:pStyle w:val="2"/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填报方向说明</w:t>
      </w:r>
    </w:p>
    <w:p w14:paraId="21AABDF0">
      <w:pPr>
        <w:pStyle w:val="3"/>
        <w:numPr>
          <w:ilvl w:val="0"/>
          <w:numId w:val="6"/>
        </w:num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每个申报</w:t>
      </w:r>
      <w:r>
        <w:rPr>
          <w:rFonts w:hint="eastAsia"/>
          <w:highlight w:val="none"/>
          <w:lang w:val="en-US" w:eastAsia="zh-CN"/>
        </w:rPr>
        <w:t>书</w:t>
      </w:r>
      <w:r>
        <w:rPr>
          <w:rFonts w:hint="default"/>
          <w:highlight w:val="none"/>
          <w:lang w:val="en-US" w:eastAsia="zh-CN"/>
        </w:rPr>
        <w:t>对应一个方向，如需申报多个方向请提供多</w:t>
      </w:r>
      <w:r>
        <w:rPr>
          <w:rFonts w:hint="eastAsia"/>
          <w:highlight w:val="none"/>
          <w:lang w:val="en-US" w:eastAsia="zh-CN"/>
        </w:rPr>
        <w:t>套</w:t>
      </w:r>
      <w:r>
        <w:rPr>
          <w:rFonts w:hint="default"/>
          <w:highlight w:val="none"/>
          <w:lang w:val="en-US" w:eastAsia="zh-CN"/>
        </w:rPr>
        <w:t>申报</w:t>
      </w:r>
      <w:r>
        <w:rPr>
          <w:rFonts w:hint="eastAsia"/>
          <w:highlight w:val="none"/>
          <w:lang w:val="en-US" w:eastAsia="zh-CN"/>
        </w:rPr>
        <w:t>书</w:t>
      </w:r>
      <w:r>
        <w:rPr>
          <w:rFonts w:hint="default"/>
          <w:highlight w:val="none"/>
          <w:lang w:val="en-US" w:eastAsia="zh-CN"/>
        </w:rPr>
        <w:t>分别报送，但不可多于三个</w:t>
      </w:r>
      <w:r>
        <w:rPr>
          <w:rFonts w:hint="eastAsia"/>
          <w:highlight w:val="none"/>
          <w:lang w:val="en-US" w:eastAsia="zh-CN"/>
        </w:rPr>
        <w:t>方向</w:t>
      </w:r>
      <w:r>
        <w:rPr>
          <w:rFonts w:hint="default"/>
          <w:highlight w:val="none"/>
          <w:lang w:val="en-US" w:eastAsia="zh-CN"/>
        </w:rPr>
        <w:t>。</w:t>
      </w:r>
    </w:p>
    <w:p w14:paraId="02C35D54">
      <w:pPr>
        <w:pStyle w:val="3"/>
        <w:numPr>
          <w:ilvl w:val="0"/>
          <w:numId w:val="6"/>
        </w:num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填报方向及说明如下：</w:t>
      </w:r>
    </w:p>
    <w:p w14:paraId="29C10285"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（1）产业集聚。</w:t>
      </w:r>
      <w:r>
        <w:rPr>
          <w:rFonts w:hint="eastAsia"/>
          <w:b w:val="0"/>
          <w:bCs w:val="0"/>
          <w:highlight w:val="none"/>
          <w:lang w:val="en-US" w:eastAsia="zh-CN"/>
        </w:rPr>
        <w:t>园区作为产业集聚承载地，聚焦产业发展，打造安全稳定的产业链，加快传统产业改造升级、培育壮大新兴产业和未来产业，是推动高质量发展的重要基础。申报对象应重点从园区立足区位优势明确产业定位、推动产业转型升级，以及推动产业链安全发展情况及成效等方面进行阐述。</w:t>
      </w:r>
    </w:p>
    <w:p w14:paraId="24E4C105"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（2）空间治理。</w:t>
      </w:r>
      <w:r>
        <w:rPr>
          <w:rFonts w:hint="eastAsia"/>
          <w:b w:val="0"/>
          <w:bCs w:val="0"/>
          <w:highlight w:val="none"/>
          <w:lang w:val="en-US" w:eastAsia="zh-CN"/>
        </w:rPr>
        <w:t>园区做好工业用地盘活工作的意义重大，不仅可以有效优化土地资源配置和利用，还能促进区域经济的协调发展、提升城市形象和功能品质、推动经济持续健康发展。申报对象应重点围绕工业用地利用、工业厂房建设和园区管理服务，从发展现状、解决问题、取得成效等方面进行阐述。</w:t>
      </w:r>
    </w:p>
    <w:p w14:paraId="59F902FD"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（3）企业培育。</w:t>
      </w:r>
      <w:r>
        <w:rPr>
          <w:rFonts w:hint="eastAsia"/>
          <w:b w:val="0"/>
          <w:bCs w:val="0"/>
          <w:highlight w:val="none"/>
          <w:lang w:val="en-US" w:eastAsia="zh-CN"/>
        </w:rPr>
        <w:t>企业是园区发展的核心引擎，是开展技术创新、推动产业转型、实现经济增长的关键驱动力。申报对象应重点从优质企业梯度培育、大中小企业融通发展、企业发展环境优化等方面进行阐述。</w:t>
      </w:r>
    </w:p>
    <w:p w14:paraId="2FA5CB56"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（4）</w:t>
      </w:r>
      <w:r>
        <w:rPr>
          <w:rFonts w:hint="default"/>
          <w:b/>
          <w:bCs/>
          <w:highlight w:val="none"/>
          <w:lang w:val="en-US" w:eastAsia="zh-CN"/>
        </w:rPr>
        <w:t>科技创新</w:t>
      </w:r>
      <w:r>
        <w:rPr>
          <w:rFonts w:hint="eastAsia"/>
          <w:b/>
          <w:bCs/>
          <w:highlight w:val="none"/>
          <w:lang w:val="en-US" w:eastAsia="zh-CN"/>
        </w:rPr>
        <w:t>。</w:t>
      </w:r>
      <w:r>
        <w:rPr>
          <w:rFonts w:hint="eastAsia"/>
          <w:highlight w:val="none"/>
          <w:lang w:val="en-US" w:eastAsia="zh-CN"/>
        </w:rPr>
        <w:t>园区作为加速产业化、集聚创新人才、汇聚资本和释放创新政策的载体，是推动我国科技进步、强化核心竞争力的重要支撑。申报对象应重点从创新体系构建、高能级创新资源引入、创新人才机制建设，以及重点领域关键核心技术攻关等方面进行阐述。</w:t>
      </w:r>
    </w:p>
    <w:p w14:paraId="7985E1B2"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（5）实数融合。</w:t>
      </w:r>
      <w:r>
        <w:rPr>
          <w:rFonts w:hint="eastAsia"/>
          <w:highlight w:val="none"/>
          <w:lang w:val="en-US" w:eastAsia="zh-CN"/>
        </w:rPr>
        <w:t>促进实体经济与数字经济的深度融合，是园区抢抓新一轮科技革命与产业变革发展先机、实现转型升级的有效路径。申报对象应重点从园区推进5G、工业互联网、数据中心等新型基础设施建设，加强新一代信息技术与行业应用的深度融合，做好传统产业转型升级等方面进行阐述。</w:t>
      </w:r>
    </w:p>
    <w:p w14:paraId="23A76CC9"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（6）绿色安全。</w:t>
      </w:r>
      <w:r>
        <w:rPr>
          <w:rFonts w:hint="eastAsia"/>
          <w:highlight w:val="none"/>
          <w:lang w:val="en-US" w:eastAsia="zh-CN"/>
        </w:rPr>
        <w:t>园区是节能减碳的基本单元，同时也是构建绿色低碳循环经济体系的关键一环；安全生产是园区发展的生命线，同时也是企业稳定运行的重要保障。申报对象应重点从构建绿色制造体系</w:t>
      </w:r>
      <w:r>
        <w:rPr>
          <w:rFonts w:hint="eastAsia" w:ascii="Times New Roman" w:hAnsi="Times New Roman"/>
          <w:highlight w:val="none"/>
          <w:lang w:val="en-US" w:eastAsia="zh-CN"/>
        </w:rPr>
        <w:t>、</w:t>
      </w:r>
      <w:r>
        <w:rPr>
          <w:rFonts w:hint="eastAsia" w:ascii="Times New Roman" w:hAnsi="Times New Roman" w:cstheme="minorBidi"/>
          <w:b w:val="0"/>
          <w:bCs w:val="0"/>
          <w:i w:val="0"/>
          <w:iCs w:val="0"/>
          <w:kern w:val="2"/>
          <w:sz w:val="32"/>
          <w:szCs w:val="30"/>
          <w:highlight w:val="none"/>
          <w:vertAlign w:val="baseline"/>
          <w:lang w:val="en-US" w:eastAsia="zh-CN" w:bidi="ar-SA"/>
        </w:rPr>
        <w:t>建设</w:t>
      </w:r>
      <w:r>
        <w:rPr>
          <w:rFonts w:hint="eastAsia" w:ascii="Times New Roman" w:hAnsi="Times New Roman" w:eastAsia="仿宋_GB2312" w:cstheme="minorBidi"/>
          <w:b w:val="0"/>
          <w:bCs w:val="0"/>
          <w:i w:val="0"/>
          <w:iCs w:val="0"/>
          <w:kern w:val="2"/>
          <w:sz w:val="32"/>
          <w:szCs w:val="30"/>
          <w:highlight w:val="none"/>
          <w:vertAlign w:val="baseline"/>
          <w:lang w:val="en-US" w:eastAsia="zh-CN" w:bidi="ar-SA"/>
        </w:rPr>
        <w:t>绿色基础设施</w:t>
      </w:r>
      <w:r>
        <w:rPr>
          <w:rFonts w:hint="eastAsia" w:ascii="Times New Roman" w:hAnsi="Times New Roman" w:cstheme="minorBidi"/>
          <w:b w:val="0"/>
          <w:bCs w:val="0"/>
          <w:i w:val="0"/>
          <w:iCs w:val="0"/>
          <w:kern w:val="2"/>
          <w:sz w:val="32"/>
          <w:szCs w:val="30"/>
          <w:highlight w:val="none"/>
          <w:vertAlign w:val="baseline"/>
          <w:lang w:val="en-US" w:eastAsia="zh-CN" w:bidi="ar-SA"/>
        </w:rPr>
        <w:t>、发展循环经济、实施清洁生产</w:t>
      </w:r>
      <w:r>
        <w:rPr>
          <w:rFonts w:hint="eastAsia" w:cstheme="minorBidi"/>
          <w:b w:val="0"/>
          <w:bCs w:val="0"/>
          <w:i w:val="0"/>
          <w:iCs w:val="0"/>
          <w:kern w:val="2"/>
          <w:sz w:val="32"/>
          <w:szCs w:val="30"/>
          <w:highlight w:val="none"/>
          <w:vertAlign w:val="baseline"/>
          <w:lang w:val="en-US" w:eastAsia="zh-CN" w:bidi="ar-SA"/>
        </w:rPr>
        <w:t>、强化生产安全保障</w:t>
      </w:r>
      <w:r>
        <w:rPr>
          <w:rFonts w:hint="eastAsia"/>
          <w:highlight w:val="none"/>
          <w:lang w:val="en-US" w:eastAsia="zh-CN"/>
        </w:rPr>
        <w:t>等方面进行阐述。</w:t>
      </w:r>
    </w:p>
    <w:p w14:paraId="013C38C7"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（7）开放合作。</w:t>
      </w:r>
      <w:r>
        <w:rPr>
          <w:rFonts w:hint="default"/>
          <w:highlight w:val="none"/>
          <w:lang w:val="en-US" w:eastAsia="zh-CN"/>
        </w:rPr>
        <w:t>实现</w:t>
      </w:r>
      <w:r>
        <w:rPr>
          <w:rFonts w:hint="eastAsia"/>
          <w:highlight w:val="none"/>
          <w:lang w:val="en-US" w:eastAsia="zh-CN"/>
        </w:rPr>
        <w:t>区域协同发展和高水平</w:t>
      </w:r>
      <w:r>
        <w:rPr>
          <w:rFonts w:hint="default"/>
          <w:highlight w:val="none"/>
          <w:lang w:val="en-US" w:eastAsia="zh-CN"/>
        </w:rPr>
        <w:t>对外开放，对于园区统筹资源要素、提高地区经济活力和竞争力、拓展经济发展空间等方面具有积极影响。申报对象应重点从</w:t>
      </w:r>
      <w:r>
        <w:rPr>
          <w:rFonts w:hint="eastAsia"/>
          <w:highlight w:val="none"/>
          <w:lang w:val="en-US" w:eastAsia="zh-CN"/>
        </w:rPr>
        <w:t>资源要素流通与优化配置、产业转移对接、区域协调联动、国际经贸合作、</w:t>
      </w:r>
      <w:r>
        <w:rPr>
          <w:rFonts w:hint="default"/>
          <w:highlight w:val="none"/>
          <w:lang w:val="en-US" w:eastAsia="zh-CN"/>
        </w:rPr>
        <w:t>“一带一路”建设等方面进行阐述。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1A304">
    <w:pPr>
      <w:pStyle w:val="10"/>
      <w:wordWrap/>
      <w:jc w:val="center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F8A09">
                          <w:pPr>
                            <w:pStyle w:val="10"/>
                            <w:wordWrap/>
                            <w:jc w:val="center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97611009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7F8A09">
                    <w:pPr>
                      <w:pStyle w:val="10"/>
                      <w:wordWrap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97611009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FFADB">
    <w:pPr>
      <w:pStyle w:val="10"/>
      <w:ind w:firstLine="280" w:firstLineChars="100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483B0">
                          <w:pPr>
                            <w:pStyle w:val="10"/>
                            <w:ind w:firstLine="280" w:firstLineChars="10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71060727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4483B0">
                    <w:pPr>
                      <w:pStyle w:val="10"/>
                      <w:ind w:firstLine="280" w:firstLineChars="100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71060727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25EFE"/>
    <w:multiLevelType w:val="singleLevel"/>
    <w:tmpl w:val="BDE25E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11A71E1"/>
    <w:multiLevelType w:val="singleLevel"/>
    <w:tmpl w:val="D11A71E1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F15DDF33"/>
    <w:multiLevelType w:val="singleLevel"/>
    <w:tmpl w:val="F15DDF33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2CEC31E3"/>
    <w:multiLevelType w:val="singleLevel"/>
    <w:tmpl w:val="2CEC31E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F479102"/>
    <w:multiLevelType w:val="singleLevel"/>
    <w:tmpl w:val="2F47910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85B72EC"/>
    <w:multiLevelType w:val="multilevel"/>
    <w:tmpl w:val="585B72EC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ZGUzMDZmZTdhY2Y0NzdkNWZlNWFlZmZhNzBiYWMifQ=="/>
  </w:docVars>
  <w:rsids>
    <w:rsidRoot w:val="00172A27"/>
    <w:rsid w:val="000072DA"/>
    <w:rsid w:val="000474AF"/>
    <w:rsid w:val="00063C66"/>
    <w:rsid w:val="00083ECB"/>
    <w:rsid w:val="000B7D79"/>
    <w:rsid w:val="000C3653"/>
    <w:rsid w:val="000E0079"/>
    <w:rsid w:val="000F4EE8"/>
    <w:rsid w:val="000F5C02"/>
    <w:rsid w:val="001C23D5"/>
    <w:rsid w:val="001E3190"/>
    <w:rsid w:val="001F7B1A"/>
    <w:rsid w:val="00210DCA"/>
    <w:rsid w:val="002468BA"/>
    <w:rsid w:val="00353ACB"/>
    <w:rsid w:val="003B3F4C"/>
    <w:rsid w:val="00413F7F"/>
    <w:rsid w:val="004876E8"/>
    <w:rsid w:val="00532BA4"/>
    <w:rsid w:val="00552B86"/>
    <w:rsid w:val="00572674"/>
    <w:rsid w:val="00624661"/>
    <w:rsid w:val="006256EE"/>
    <w:rsid w:val="006B4F71"/>
    <w:rsid w:val="006F3703"/>
    <w:rsid w:val="00723C28"/>
    <w:rsid w:val="009055D4"/>
    <w:rsid w:val="00B048B5"/>
    <w:rsid w:val="00B9537F"/>
    <w:rsid w:val="00BB6F41"/>
    <w:rsid w:val="00C7088D"/>
    <w:rsid w:val="00C771F1"/>
    <w:rsid w:val="00CC1ACE"/>
    <w:rsid w:val="00CD0489"/>
    <w:rsid w:val="00D25B0C"/>
    <w:rsid w:val="00D976B0"/>
    <w:rsid w:val="00DE5381"/>
    <w:rsid w:val="00E9167D"/>
    <w:rsid w:val="00EF58BE"/>
    <w:rsid w:val="00F128FA"/>
    <w:rsid w:val="00F50CE9"/>
    <w:rsid w:val="010D7DD7"/>
    <w:rsid w:val="012670EA"/>
    <w:rsid w:val="012810B4"/>
    <w:rsid w:val="01510A39"/>
    <w:rsid w:val="01697AC4"/>
    <w:rsid w:val="022831DB"/>
    <w:rsid w:val="026C5261"/>
    <w:rsid w:val="032A2EC2"/>
    <w:rsid w:val="036839EA"/>
    <w:rsid w:val="03863E70"/>
    <w:rsid w:val="03D805EB"/>
    <w:rsid w:val="03D96696"/>
    <w:rsid w:val="03DB41BC"/>
    <w:rsid w:val="04025BED"/>
    <w:rsid w:val="040C0819"/>
    <w:rsid w:val="045B70AB"/>
    <w:rsid w:val="04D5596C"/>
    <w:rsid w:val="054B711F"/>
    <w:rsid w:val="05500BDA"/>
    <w:rsid w:val="055165CD"/>
    <w:rsid w:val="05715BAA"/>
    <w:rsid w:val="05776166"/>
    <w:rsid w:val="057C552B"/>
    <w:rsid w:val="05F23A3F"/>
    <w:rsid w:val="0673692E"/>
    <w:rsid w:val="069468A4"/>
    <w:rsid w:val="06EF540F"/>
    <w:rsid w:val="06FE275E"/>
    <w:rsid w:val="07351E35"/>
    <w:rsid w:val="07473A63"/>
    <w:rsid w:val="076D5A73"/>
    <w:rsid w:val="078E70B9"/>
    <w:rsid w:val="080D4B60"/>
    <w:rsid w:val="086C7AD9"/>
    <w:rsid w:val="089112ED"/>
    <w:rsid w:val="089B216C"/>
    <w:rsid w:val="08B1198F"/>
    <w:rsid w:val="08C07E24"/>
    <w:rsid w:val="08E04AD1"/>
    <w:rsid w:val="092108C3"/>
    <w:rsid w:val="09410F65"/>
    <w:rsid w:val="097A6225"/>
    <w:rsid w:val="09A92667"/>
    <w:rsid w:val="09C15C02"/>
    <w:rsid w:val="09CB5AE5"/>
    <w:rsid w:val="09DE67B4"/>
    <w:rsid w:val="09F00295"/>
    <w:rsid w:val="0A8F5D00"/>
    <w:rsid w:val="0A9D666F"/>
    <w:rsid w:val="0B642CE9"/>
    <w:rsid w:val="0B901D30"/>
    <w:rsid w:val="0B9D2300"/>
    <w:rsid w:val="0BB579E9"/>
    <w:rsid w:val="0BDA11FD"/>
    <w:rsid w:val="0BF16C73"/>
    <w:rsid w:val="0C3755AF"/>
    <w:rsid w:val="0C874EE1"/>
    <w:rsid w:val="0CC7352F"/>
    <w:rsid w:val="0CE9794A"/>
    <w:rsid w:val="0D696CDD"/>
    <w:rsid w:val="0D957AD2"/>
    <w:rsid w:val="0DB55A7E"/>
    <w:rsid w:val="0DB5782C"/>
    <w:rsid w:val="0DC3019B"/>
    <w:rsid w:val="0DEB5944"/>
    <w:rsid w:val="0E574D87"/>
    <w:rsid w:val="0E9733D5"/>
    <w:rsid w:val="0EF13522"/>
    <w:rsid w:val="0EF46879"/>
    <w:rsid w:val="0F164219"/>
    <w:rsid w:val="0F4B47C9"/>
    <w:rsid w:val="0F4D73DE"/>
    <w:rsid w:val="0F5A4B2F"/>
    <w:rsid w:val="0F6565D0"/>
    <w:rsid w:val="0FD20B69"/>
    <w:rsid w:val="0FF51B2A"/>
    <w:rsid w:val="10313081"/>
    <w:rsid w:val="10D66437"/>
    <w:rsid w:val="11681852"/>
    <w:rsid w:val="11A622AD"/>
    <w:rsid w:val="11BA18B5"/>
    <w:rsid w:val="11C97D4A"/>
    <w:rsid w:val="11EC57E6"/>
    <w:rsid w:val="12096398"/>
    <w:rsid w:val="1211457D"/>
    <w:rsid w:val="123649BA"/>
    <w:rsid w:val="12386C7D"/>
    <w:rsid w:val="123C676E"/>
    <w:rsid w:val="128A690E"/>
    <w:rsid w:val="12C14EC5"/>
    <w:rsid w:val="1310555D"/>
    <w:rsid w:val="1336140F"/>
    <w:rsid w:val="13763F01"/>
    <w:rsid w:val="14531B4D"/>
    <w:rsid w:val="14922675"/>
    <w:rsid w:val="14CB5B87"/>
    <w:rsid w:val="14E135FC"/>
    <w:rsid w:val="15121A08"/>
    <w:rsid w:val="151439D2"/>
    <w:rsid w:val="154D47EE"/>
    <w:rsid w:val="15802E15"/>
    <w:rsid w:val="16135A37"/>
    <w:rsid w:val="164E4CC1"/>
    <w:rsid w:val="166149F5"/>
    <w:rsid w:val="16A50D85"/>
    <w:rsid w:val="16ED6288"/>
    <w:rsid w:val="1715128F"/>
    <w:rsid w:val="176A78D9"/>
    <w:rsid w:val="1787048B"/>
    <w:rsid w:val="17A76437"/>
    <w:rsid w:val="17DB2585"/>
    <w:rsid w:val="185760AF"/>
    <w:rsid w:val="188B7B07"/>
    <w:rsid w:val="189A41EE"/>
    <w:rsid w:val="18CD0120"/>
    <w:rsid w:val="18EB4A4A"/>
    <w:rsid w:val="18EE0096"/>
    <w:rsid w:val="18F25DD8"/>
    <w:rsid w:val="18F90F15"/>
    <w:rsid w:val="193C34F7"/>
    <w:rsid w:val="19461C80"/>
    <w:rsid w:val="196A3BC0"/>
    <w:rsid w:val="19831126"/>
    <w:rsid w:val="1997072D"/>
    <w:rsid w:val="19AD21C5"/>
    <w:rsid w:val="19DB2DA5"/>
    <w:rsid w:val="19E03E83"/>
    <w:rsid w:val="19F31E08"/>
    <w:rsid w:val="1A4A39F2"/>
    <w:rsid w:val="1A534654"/>
    <w:rsid w:val="1A5D54D3"/>
    <w:rsid w:val="1A7C5F8F"/>
    <w:rsid w:val="1AC92B69"/>
    <w:rsid w:val="1BDE0896"/>
    <w:rsid w:val="1BED0AD9"/>
    <w:rsid w:val="1C0B7651"/>
    <w:rsid w:val="1CA218C3"/>
    <w:rsid w:val="1CA26C7D"/>
    <w:rsid w:val="1CD31A7D"/>
    <w:rsid w:val="1D01483C"/>
    <w:rsid w:val="1DB63878"/>
    <w:rsid w:val="1DCF3786"/>
    <w:rsid w:val="1E0D5462"/>
    <w:rsid w:val="1E5B441F"/>
    <w:rsid w:val="1EA75740"/>
    <w:rsid w:val="1EC37D91"/>
    <w:rsid w:val="1F152820"/>
    <w:rsid w:val="1F4D3803"/>
    <w:rsid w:val="1F843311"/>
    <w:rsid w:val="1FF031A1"/>
    <w:rsid w:val="1FF561AE"/>
    <w:rsid w:val="2000702C"/>
    <w:rsid w:val="202D76F6"/>
    <w:rsid w:val="203E1903"/>
    <w:rsid w:val="208A2D9A"/>
    <w:rsid w:val="20AE4CDA"/>
    <w:rsid w:val="20C444FE"/>
    <w:rsid w:val="20E71F9A"/>
    <w:rsid w:val="21183C0B"/>
    <w:rsid w:val="21613AFB"/>
    <w:rsid w:val="216D5D97"/>
    <w:rsid w:val="217D46AD"/>
    <w:rsid w:val="22576CAC"/>
    <w:rsid w:val="22A61A17"/>
    <w:rsid w:val="22E36792"/>
    <w:rsid w:val="22F8048F"/>
    <w:rsid w:val="2366675F"/>
    <w:rsid w:val="23781D29"/>
    <w:rsid w:val="23897B34"/>
    <w:rsid w:val="23DE58D7"/>
    <w:rsid w:val="24C50845"/>
    <w:rsid w:val="24CF521F"/>
    <w:rsid w:val="250E5D48"/>
    <w:rsid w:val="251610A0"/>
    <w:rsid w:val="2527505B"/>
    <w:rsid w:val="25382DC5"/>
    <w:rsid w:val="253D662D"/>
    <w:rsid w:val="25C94365"/>
    <w:rsid w:val="265754CC"/>
    <w:rsid w:val="26720558"/>
    <w:rsid w:val="267442D0"/>
    <w:rsid w:val="27280C17"/>
    <w:rsid w:val="280746CF"/>
    <w:rsid w:val="29471828"/>
    <w:rsid w:val="298E7457"/>
    <w:rsid w:val="29A8479D"/>
    <w:rsid w:val="2B075F1F"/>
    <w:rsid w:val="2B6568DD"/>
    <w:rsid w:val="2B6761B2"/>
    <w:rsid w:val="2B8E1816"/>
    <w:rsid w:val="2BEA0B91"/>
    <w:rsid w:val="2BF11E95"/>
    <w:rsid w:val="2C0A4D8F"/>
    <w:rsid w:val="2C120706"/>
    <w:rsid w:val="2C271DEC"/>
    <w:rsid w:val="2D3622E0"/>
    <w:rsid w:val="2D4D13D7"/>
    <w:rsid w:val="2D5A6F32"/>
    <w:rsid w:val="2D7352E2"/>
    <w:rsid w:val="2DBD030B"/>
    <w:rsid w:val="2DDB4C35"/>
    <w:rsid w:val="2E00469C"/>
    <w:rsid w:val="2E821554"/>
    <w:rsid w:val="2EAE5EA6"/>
    <w:rsid w:val="2F212B1B"/>
    <w:rsid w:val="2F2B74F6"/>
    <w:rsid w:val="2F6D7B0F"/>
    <w:rsid w:val="2FCC0CD9"/>
    <w:rsid w:val="307D1FD3"/>
    <w:rsid w:val="30F57DBC"/>
    <w:rsid w:val="30FF0C3A"/>
    <w:rsid w:val="310444A3"/>
    <w:rsid w:val="31101EFB"/>
    <w:rsid w:val="318C4BC4"/>
    <w:rsid w:val="318F2B68"/>
    <w:rsid w:val="31AF094A"/>
    <w:rsid w:val="31D677DA"/>
    <w:rsid w:val="3253123E"/>
    <w:rsid w:val="32867865"/>
    <w:rsid w:val="32877139"/>
    <w:rsid w:val="32FE389F"/>
    <w:rsid w:val="3364747B"/>
    <w:rsid w:val="336E3E55"/>
    <w:rsid w:val="33767920"/>
    <w:rsid w:val="33AF6948"/>
    <w:rsid w:val="33E1446C"/>
    <w:rsid w:val="344A6670"/>
    <w:rsid w:val="34684D49"/>
    <w:rsid w:val="34A044E2"/>
    <w:rsid w:val="34AC7433"/>
    <w:rsid w:val="34B306BA"/>
    <w:rsid w:val="34E15227"/>
    <w:rsid w:val="3534176C"/>
    <w:rsid w:val="35472BB0"/>
    <w:rsid w:val="3566572C"/>
    <w:rsid w:val="35794950"/>
    <w:rsid w:val="358E07DF"/>
    <w:rsid w:val="3598340C"/>
    <w:rsid w:val="36064819"/>
    <w:rsid w:val="361F4F1F"/>
    <w:rsid w:val="364A6DFC"/>
    <w:rsid w:val="3660217B"/>
    <w:rsid w:val="366D4898"/>
    <w:rsid w:val="3688136D"/>
    <w:rsid w:val="372431A9"/>
    <w:rsid w:val="37386C54"/>
    <w:rsid w:val="377A726D"/>
    <w:rsid w:val="382A0C93"/>
    <w:rsid w:val="3862042D"/>
    <w:rsid w:val="38A87E0A"/>
    <w:rsid w:val="38AA3B82"/>
    <w:rsid w:val="38B62526"/>
    <w:rsid w:val="38F075AB"/>
    <w:rsid w:val="395835DE"/>
    <w:rsid w:val="39674669"/>
    <w:rsid w:val="39697599"/>
    <w:rsid w:val="39B5295A"/>
    <w:rsid w:val="39BF540B"/>
    <w:rsid w:val="3B5E0120"/>
    <w:rsid w:val="3B711262"/>
    <w:rsid w:val="3B8E1539"/>
    <w:rsid w:val="3CE31410"/>
    <w:rsid w:val="3CFC24D2"/>
    <w:rsid w:val="3D6F0EF6"/>
    <w:rsid w:val="3D7A7FC6"/>
    <w:rsid w:val="3D962926"/>
    <w:rsid w:val="3DC47494"/>
    <w:rsid w:val="3E285C74"/>
    <w:rsid w:val="3E2A65CD"/>
    <w:rsid w:val="3E4203B8"/>
    <w:rsid w:val="3EE53B65"/>
    <w:rsid w:val="3F32667F"/>
    <w:rsid w:val="3F7D5B4C"/>
    <w:rsid w:val="3FBA180C"/>
    <w:rsid w:val="3FC714BD"/>
    <w:rsid w:val="3FEC2CD2"/>
    <w:rsid w:val="40520154"/>
    <w:rsid w:val="405F16F6"/>
    <w:rsid w:val="40786454"/>
    <w:rsid w:val="407F3B46"/>
    <w:rsid w:val="40941132"/>
    <w:rsid w:val="413E4F19"/>
    <w:rsid w:val="417F0B65"/>
    <w:rsid w:val="4193283E"/>
    <w:rsid w:val="41BD0482"/>
    <w:rsid w:val="41D8350E"/>
    <w:rsid w:val="42570204"/>
    <w:rsid w:val="42755200"/>
    <w:rsid w:val="429A4C67"/>
    <w:rsid w:val="42C13FA2"/>
    <w:rsid w:val="42EE5C48"/>
    <w:rsid w:val="4355293C"/>
    <w:rsid w:val="437048E9"/>
    <w:rsid w:val="439D4A0F"/>
    <w:rsid w:val="43B130F6"/>
    <w:rsid w:val="440F6F8F"/>
    <w:rsid w:val="44366CBD"/>
    <w:rsid w:val="445D419E"/>
    <w:rsid w:val="446C5B48"/>
    <w:rsid w:val="4496320C"/>
    <w:rsid w:val="44C949F9"/>
    <w:rsid w:val="44FF7003"/>
    <w:rsid w:val="452151CC"/>
    <w:rsid w:val="4550160D"/>
    <w:rsid w:val="45D24002"/>
    <w:rsid w:val="45DD7344"/>
    <w:rsid w:val="45F96148"/>
    <w:rsid w:val="46256F3D"/>
    <w:rsid w:val="463E35D3"/>
    <w:rsid w:val="469F45FA"/>
    <w:rsid w:val="46B856BC"/>
    <w:rsid w:val="46C44060"/>
    <w:rsid w:val="46DB13AA"/>
    <w:rsid w:val="46F25071"/>
    <w:rsid w:val="479271AB"/>
    <w:rsid w:val="47CD5197"/>
    <w:rsid w:val="47DF7DA3"/>
    <w:rsid w:val="47E30E5E"/>
    <w:rsid w:val="47E349BA"/>
    <w:rsid w:val="47F9458A"/>
    <w:rsid w:val="47FE35A2"/>
    <w:rsid w:val="485B09F4"/>
    <w:rsid w:val="488F68F0"/>
    <w:rsid w:val="495121E4"/>
    <w:rsid w:val="49543DC1"/>
    <w:rsid w:val="49725FF6"/>
    <w:rsid w:val="49A81A17"/>
    <w:rsid w:val="49D2118A"/>
    <w:rsid w:val="4A0D5D1E"/>
    <w:rsid w:val="4A1C41B3"/>
    <w:rsid w:val="4A21468B"/>
    <w:rsid w:val="4A2512BA"/>
    <w:rsid w:val="4A364376"/>
    <w:rsid w:val="4A91694F"/>
    <w:rsid w:val="4A9B332A"/>
    <w:rsid w:val="4B320132"/>
    <w:rsid w:val="4B6B53F2"/>
    <w:rsid w:val="4B863FDA"/>
    <w:rsid w:val="4BB072A9"/>
    <w:rsid w:val="4BC002BD"/>
    <w:rsid w:val="4CAF57B3"/>
    <w:rsid w:val="4CD738E4"/>
    <w:rsid w:val="4D4E0B28"/>
    <w:rsid w:val="4DBE3EFF"/>
    <w:rsid w:val="4EEC7F74"/>
    <w:rsid w:val="4EFD0A57"/>
    <w:rsid w:val="4F1F277C"/>
    <w:rsid w:val="4F4F0CCA"/>
    <w:rsid w:val="4F8C5937"/>
    <w:rsid w:val="4FC74BC1"/>
    <w:rsid w:val="4FD74E04"/>
    <w:rsid w:val="4FFF435B"/>
    <w:rsid w:val="502B5150"/>
    <w:rsid w:val="50461F8A"/>
    <w:rsid w:val="50E35A2B"/>
    <w:rsid w:val="50E7376D"/>
    <w:rsid w:val="51475FBA"/>
    <w:rsid w:val="515F1DDD"/>
    <w:rsid w:val="5167040A"/>
    <w:rsid w:val="51713037"/>
    <w:rsid w:val="51DB6702"/>
    <w:rsid w:val="51E24880"/>
    <w:rsid w:val="52036385"/>
    <w:rsid w:val="5221680B"/>
    <w:rsid w:val="524D5852"/>
    <w:rsid w:val="52C00EF1"/>
    <w:rsid w:val="52CA0C50"/>
    <w:rsid w:val="52E15F9A"/>
    <w:rsid w:val="535E6DBD"/>
    <w:rsid w:val="536746F1"/>
    <w:rsid w:val="537B63EF"/>
    <w:rsid w:val="53941B0F"/>
    <w:rsid w:val="54324CFF"/>
    <w:rsid w:val="54700D38"/>
    <w:rsid w:val="54B25E40"/>
    <w:rsid w:val="54E57FC4"/>
    <w:rsid w:val="54EB7955"/>
    <w:rsid w:val="54F2623D"/>
    <w:rsid w:val="551E7032"/>
    <w:rsid w:val="552B4964"/>
    <w:rsid w:val="5577074A"/>
    <w:rsid w:val="55CE6CAA"/>
    <w:rsid w:val="55D6790C"/>
    <w:rsid w:val="565151E5"/>
    <w:rsid w:val="56B55774"/>
    <w:rsid w:val="57112AFA"/>
    <w:rsid w:val="57843C2A"/>
    <w:rsid w:val="57B43C7D"/>
    <w:rsid w:val="57E44562"/>
    <w:rsid w:val="588804F6"/>
    <w:rsid w:val="59011144"/>
    <w:rsid w:val="59017396"/>
    <w:rsid w:val="591E5852"/>
    <w:rsid w:val="59401C6C"/>
    <w:rsid w:val="59A1599D"/>
    <w:rsid w:val="59BB12F3"/>
    <w:rsid w:val="59BB7545"/>
    <w:rsid w:val="59CF4D9E"/>
    <w:rsid w:val="59D2488F"/>
    <w:rsid w:val="59E3084A"/>
    <w:rsid w:val="5A0E58C7"/>
    <w:rsid w:val="5A846212"/>
    <w:rsid w:val="5AFF3461"/>
    <w:rsid w:val="5B3E6680"/>
    <w:rsid w:val="5B44356A"/>
    <w:rsid w:val="5B7C4AB2"/>
    <w:rsid w:val="5B8C60DD"/>
    <w:rsid w:val="5C42009C"/>
    <w:rsid w:val="5C4952DC"/>
    <w:rsid w:val="5C6B34A4"/>
    <w:rsid w:val="5CD32DF8"/>
    <w:rsid w:val="5D066D29"/>
    <w:rsid w:val="5D1A4582"/>
    <w:rsid w:val="5D296EBB"/>
    <w:rsid w:val="5D707409"/>
    <w:rsid w:val="5D997B9D"/>
    <w:rsid w:val="5DAA1DAA"/>
    <w:rsid w:val="5DB524FD"/>
    <w:rsid w:val="5DE67710"/>
    <w:rsid w:val="5E453881"/>
    <w:rsid w:val="5E5E4943"/>
    <w:rsid w:val="5E6C0A33"/>
    <w:rsid w:val="5E7B54F5"/>
    <w:rsid w:val="5EA76A75"/>
    <w:rsid w:val="5EE50BC0"/>
    <w:rsid w:val="5F622211"/>
    <w:rsid w:val="5F903222"/>
    <w:rsid w:val="5FB46F10"/>
    <w:rsid w:val="5FD90725"/>
    <w:rsid w:val="60001D39"/>
    <w:rsid w:val="608508AD"/>
    <w:rsid w:val="608B6453"/>
    <w:rsid w:val="60AE3960"/>
    <w:rsid w:val="61273712"/>
    <w:rsid w:val="614632BC"/>
    <w:rsid w:val="61587D6F"/>
    <w:rsid w:val="6175447D"/>
    <w:rsid w:val="61761FA3"/>
    <w:rsid w:val="617F52FC"/>
    <w:rsid w:val="61C40F61"/>
    <w:rsid w:val="62061579"/>
    <w:rsid w:val="62775F5F"/>
    <w:rsid w:val="62AA63A9"/>
    <w:rsid w:val="63E31B72"/>
    <w:rsid w:val="63F7386F"/>
    <w:rsid w:val="64025D70"/>
    <w:rsid w:val="640F0BB9"/>
    <w:rsid w:val="64A01811"/>
    <w:rsid w:val="64AD140A"/>
    <w:rsid w:val="64AF0CBC"/>
    <w:rsid w:val="64B81251"/>
    <w:rsid w:val="64BE61B5"/>
    <w:rsid w:val="651D5558"/>
    <w:rsid w:val="652C579B"/>
    <w:rsid w:val="6535036C"/>
    <w:rsid w:val="6559319D"/>
    <w:rsid w:val="65750EF0"/>
    <w:rsid w:val="65C15EE3"/>
    <w:rsid w:val="65D5198E"/>
    <w:rsid w:val="65E05909"/>
    <w:rsid w:val="65E25E59"/>
    <w:rsid w:val="65F5637F"/>
    <w:rsid w:val="668B029F"/>
    <w:rsid w:val="668D2269"/>
    <w:rsid w:val="669E446B"/>
    <w:rsid w:val="66DC0AFB"/>
    <w:rsid w:val="671D539B"/>
    <w:rsid w:val="671E7365"/>
    <w:rsid w:val="672E0E9A"/>
    <w:rsid w:val="678C2521"/>
    <w:rsid w:val="67957627"/>
    <w:rsid w:val="67D433FD"/>
    <w:rsid w:val="67D5211A"/>
    <w:rsid w:val="681A18DB"/>
    <w:rsid w:val="68784853"/>
    <w:rsid w:val="693B7D5A"/>
    <w:rsid w:val="694F1A58"/>
    <w:rsid w:val="694F7CAA"/>
    <w:rsid w:val="696F3EA8"/>
    <w:rsid w:val="69780FAF"/>
    <w:rsid w:val="69961435"/>
    <w:rsid w:val="6999742B"/>
    <w:rsid w:val="69A004FC"/>
    <w:rsid w:val="6A9C0CCD"/>
    <w:rsid w:val="6AFA59F3"/>
    <w:rsid w:val="6B427FC1"/>
    <w:rsid w:val="6B560E7C"/>
    <w:rsid w:val="6B7B6B34"/>
    <w:rsid w:val="6C164AAF"/>
    <w:rsid w:val="6C4631AD"/>
    <w:rsid w:val="6C53185F"/>
    <w:rsid w:val="6C55623F"/>
    <w:rsid w:val="6C7A0F7D"/>
    <w:rsid w:val="6D0D5EB2"/>
    <w:rsid w:val="6D2A25C0"/>
    <w:rsid w:val="6D5E670D"/>
    <w:rsid w:val="6D611D5A"/>
    <w:rsid w:val="6D87532F"/>
    <w:rsid w:val="6EA14B04"/>
    <w:rsid w:val="6F2474E3"/>
    <w:rsid w:val="6F3F5890"/>
    <w:rsid w:val="6F433E0D"/>
    <w:rsid w:val="6F5C6C7D"/>
    <w:rsid w:val="6F8D32DA"/>
    <w:rsid w:val="6F9D176F"/>
    <w:rsid w:val="6FC82564"/>
    <w:rsid w:val="70111815"/>
    <w:rsid w:val="701F03D6"/>
    <w:rsid w:val="702A6D7B"/>
    <w:rsid w:val="70EC1805"/>
    <w:rsid w:val="71364228"/>
    <w:rsid w:val="71A5490B"/>
    <w:rsid w:val="71CF7BDA"/>
    <w:rsid w:val="71E573FD"/>
    <w:rsid w:val="72C47013"/>
    <w:rsid w:val="731004AA"/>
    <w:rsid w:val="731A6C33"/>
    <w:rsid w:val="731C0BFD"/>
    <w:rsid w:val="73880040"/>
    <w:rsid w:val="73D634A1"/>
    <w:rsid w:val="749B1FF5"/>
    <w:rsid w:val="74CB28DA"/>
    <w:rsid w:val="74E05C5A"/>
    <w:rsid w:val="750C6A4F"/>
    <w:rsid w:val="75524DAA"/>
    <w:rsid w:val="75695C4F"/>
    <w:rsid w:val="75720FA8"/>
    <w:rsid w:val="75750A98"/>
    <w:rsid w:val="757A4300"/>
    <w:rsid w:val="75B415C0"/>
    <w:rsid w:val="75B710B1"/>
    <w:rsid w:val="75D27E1C"/>
    <w:rsid w:val="76157B85"/>
    <w:rsid w:val="76830F93"/>
    <w:rsid w:val="76A33700"/>
    <w:rsid w:val="76B949B4"/>
    <w:rsid w:val="771A5453"/>
    <w:rsid w:val="772E53A2"/>
    <w:rsid w:val="774C75D7"/>
    <w:rsid w:val="77752853"/>
    <w:rsid w:val="77B070F5"/>
    <w:rsid w:val="77B5517C"/>
    <w:rsid w:val="78857244"/>
    <w:rsid w:val="78F10436"/>
    <w:rsid w:val="78FD502C"/>
    <w:rsid w:val="791B54B2"/>
    <w:rsid w:val="795F117B"/>
    <w:rsid w:val="7A320D06"/>
    <w:rsid w:val="7A412D00"/>
    <w:rsid w:val="7A462A03"/>
    <w:rsid w:val="7A94551C"/>
    <w:rsid w:val="7AB84639"/>
    <w:rsid w:val="7AE544DD"/>
    <w:rsid w:val="7B42141C"/>
    <w:rsid w:val="7B963516"/>
    <w:rsid w:val="7BA23C69"/>
    <w:rsid w:val="7BA613DD"/>
    <w:rsid w:val="7BE2675B"/>
    <w:rsid w:val="7C3E18F8"/>
    <w:rsid w:val="7C9F63FA"/>
    <w:rsid w:val="7CA852AF"/>
    <w:rsid w:val="7CA85B5D"/>
    <w:rsid w:val="7CFE5817"/>
    <w:rsid w:val="7D107E15"/>
    <w:rsid w:val="7D1B3CD3"/>
    <w:rsid w:val="7D2A660C"/>
    <w:rsid w:val="7DC04CDA"/>
    <w:rsid w:val="7DD345AE"/>
    <w:rsid w:val="7DF8568A"/>
    <w:rsid w:val="7DFD162B"/>
    <w:rsid w:val="7E01736D"/>
    <w:rsid w:val="7E2260E7"/>
    <w:rsid w:val="7EB22415"/>
    <w:rsid w:val="7ED93E46"/>
    <w:rsid w:val="7F313C82"/>
    <w:rsid w:val="7F417896"/>
    <w:rsid w:val="7F453289"/>
    <w:rsid w:val="7F945FBF"/>
    <w:rsid w:val="7F961D37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17"/>
    <w:autoRedefine/>
    <w:qFormat/>
    <w:uiPriority w:val="9"/>
    <w:pPr>
      <w:keepNext/>
      <w:numPr>
        <w:ilvl w:val="0"/>
        <w:numId w:val="1"/>
      </w:numPr>
      <w:ind w:firstLine="640"/>
      <w:outlineLvl w:val="0"/>
    </w:pPr>
    <w:rPr>
      <w:rFonts w:ascii="Times New Roman" w:hAnsi="Times New Roman" w:eastAsia="黑体"/>
    </w:rPr>
  </w:style>
  <w:style w:type="paragraph" w:styleId="4">
    <w:name w:val="heading 2"/>
    <w:basedOn w:val="2"/>
    <w:next w:val="3"/>
    <w:link w:val="18"/>
    <w:autoRedefine/>
    <w:unhideWhenUsed/>
    <w:qFormat/>
    <w:uiPriority w:val="9"/>
    <w:pPr>
      <w:numPr>
        <w:ilvl w:val="1"/>
      </w:numPr>
      <w:ind w:firstLine="640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2"/>
    <w:next w:val="3"/>
    <w:link w:val="19"/>
    <w:autoRedefine/>
    <w:unhideWhenUsed/>
    <w:qFormat/>
    <w:uiPriority w:val="9"/>
    <w:pPr>
      <w:numPr>
        <w:ilvl w:val="2"/>
      </w:numPr>
      <w:ind w:firstLine="640"/>
      <w:outlineLvl w:val="2"/>
    </w:pPr>
    <w:rPr>
      <w:rFonts w:ascii="Times New Roman" w:hAnsi="Times New Roman" w:eastAsia="仿宋_GB2312"/>
    </w:rPr>
  </w:style>
  <w:style w:type="paragraph" w:styleId="6">
    <w:name w:val="heading 4"/>
    <w:basedOn w:val="2"/>
    <w:next w:val="3"/>
    <w:link w:val="20"/>
    <w:autoRedefine/>
    <w:unhideWhenUsed/>
    <w:qFormat/>
    <w:uiPriority w:val="9"/>
    <w:pPr>
      <w:numPr>
        <w:ilvl w:val="3"/>
      </w:numPr>
      <w:ind w:firstLine="640"/>
      <w:outlineLvl w:val="3"/>
    </w:pPr>
    <w:rPr>
      <w:rFonts w:ascii="Times New Roman" w:hAnsi="Times New Roman" w:eastAsia="仿宋_GB2312"/>
    </w:rPr>
  </w:style>
  <w:style w:type="paragraph" w:styleId="7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+西文正文" w:hAnsi="+西文正文" w:eastAsia="+中文正文"/>
      <w:b/>
      <w:sz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内容"/>
    <w:basedOn w:val="1"/>
    <w:link w:val="16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0"/>
    </w:rPr>
  </w:style>
  <w:style w:type="paragraph" w:styleId="8">
    <w:name w:val="caption"/>
    <w:basedOn w:val="1"/>
    <w:next w:val="1"/>
    <w:autoRedefine/>
    <w:semiHidden/>
    <w:unhideWhenUsed/>
    <w:qFormat/>
    <w:uiPriority w:val="35"/>
    <w:rPr>
      <w:rFonts w:ascii="Arial" w:hAnsi="Arial" w:eastAsia="黑体"/>
      <w:sz w:val="20"/>
    </w:rPr>
  </w:style>
  <w:style w:type="paragraph" w:styleId="9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3"/>
    <w:link w:val="21"/>
    <w:autoRedefine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正文内容 Char"/>
    <w:basedOn w:val="15"/>
    <w:link w:val="3"/>
    <w:autoRedefine/>
    <w:qFormat/>
    <w:uiPriority w:val="0"/>
    <w:rPr>
      <w:rFonts w:ascii="Times New Roman" w:hAnsi="Times New Roman" w:eastAsia="仿宋_GB2312"/>
      <w:sz w:val="32"/>
      <w:szCs w:val="30"/>
    </w:rPr>
  </w:style>
  <w:style w:type="character" w:customStyle="1" w:styleId="17">
    <w:name w:val="标题 1 Char"/>
    <w:basedOn w:val="15"/>
    <w:link w:val="2"/>
    <w:autoRedefine/>
    <w:qFormat/>
    <w:uiPriority w:val="9"/>
    <w:rPr>
      <w:rFonts w:ascii="Times New Roman" w:hAnsi="Times New Roman" w:eastAsia="黑体"/>
      <w:sz w:val="32"/>
      <w:szCs w:val="30"/>
    </w:rPr>
  </w:style>
  <w:style w:type="character" w:customStyle="1" w:styleId="18">
    <w:name w:val="标题 2 Char"/>
    <w:basedOn w:val="15"/>
    <w:link w:val="4"/>
    <w:autoRedefine/>
    <w:qFormat/>
    <w:uiPriority w:val="9"/>
    <w:rPr>
      <w:rFonts w:ascii="Times New Roman" w:hAnsi="Times New Roman" w:eastAsia="楷体_GB2312"/>
      <w:sz w:val="32"/>
      <w:szCs w:val="30"/>
    </w:rPr>
  </w:style>
  <w:style w:type="character" w:customStyle="1" w:styleId="19">
    <w:name w:val="标题 3 Char"/>
    <w:basedOn w:val="15"/>
    <w:link w:val="5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0">
    <w:name w:val="标题 4 Char"/>
    <w:basedOn w:val="15"/>
    <w:link w:val="6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1">
    <w:name w:val="标题 Char"/>
    <w:basedOn w:val="15"/>
    <w:link w:val="12"/>
    <w:autoRedefine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22">
    <w:name w:val="页眉 Char"/>
    <w:basedOn w:val="15"/>
    <w:link w:val="11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5"/>
    <w:link w:val="10"/>
    <w:autoRedefine/>
    <w:qFormat/>
    <w:uiPriority w:val="99"/>
    <w:rPr>
      <w:sz w:val="18"/>
      <w:szCs w:val="18"/>
    </w:rPr>
  </w:style>
  <w:style w:type="table" w:customStyle="1" w:styleId="24">
    <w:name w:val="正式表格1"/>
    <w:basedOn w:val="13"/>
    <w:autoRedefine/>
    <w:qFormat/>
    <w:uiPriority w:val="99"/>
    <w:pPr>
      <w:spacing w:before="25" w:beforeLines="25" w:after="25" w:afterLines="25"/>
      <w:jc w:val="center"/>
    </w:pPr>
    <w:rPr>
      <w:rFonts w:ascii="Times New Roman" w:hAnsi="Times New Roman" w:eastAsia="楷体_GB2312"/>
      <w:sz w:val="24"/>
    </w:rPr>
    <w:tblPr>
      <w:jc w:val="center"/>
      <w:tblBorders>
        <w:top w:val="single" w:color="auto" w:sz="4" w:space="0"/>
        <w:bottom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楷体_GB2312"/>
        <w:b/>
        <w:sz w:val="24"/>
      </w:rPr>
      <w:tblPr/>
      <w:trPr>
        <w:tblHeader/>
      </w:trPr>
      <w:tcPr>
        <w:tcBorders>
          <w:bottom w:val="single" w:color="auto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正式公文格式（新版）.dotx</Template>
  <Pages>6</Pages>
  <Words>2313</Words>
  <Characters>2387</Characters>
  <Lines>0</Lines>
  <Paragraphs>0</Paragraphs>
  <TotalTime>24</TotalTime>
  <ScaleCrop>false</ScaleCrop>
  <LinksUpToDate>false</LinksUpToDate>
  <CharactersWithSpaces>2394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2024-04-25T03:32:00Z</dcterms:created>
  <dc:creator>mmm</dc:creator>
  <cp:lastModifiedBy>cyh</cp:lastModifiedBy>
  <dcterms:modified xsi:type="dcterms:W3CDTF">2025-05-15T08:03:12Z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B05D74B8942642AC9DB278205E540C82_11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eyJoZGlkIjoiYmNkZjRiZmYwYjg4MGJhMDQyMjJlNDk4NmU3YWViNzgiLCJ1c2VySWQiOiIzMTU5MDc2NTgifQ==</vt:lpwstr>
  </property>
</Properties>
</file>