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286B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 w14:paraId="6043F0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省级专利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推广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转化实施资助资金决算表</w:t>
      </w: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1"/>
        <w:gridCol w:w="3894"/>
        <w:gridCol w:w="1865"/>
        <w:gridCol w:w="1671"/>
      </w:tblGrid>
      <w:tr w14:paraId="7172C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0" w:type="pct"/>
          </w:tcPr>
          <w:p w14:paraId="1CB45B2E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4099" w:type="pct"/>
            <w:gridSpan w:val="3"/>
          </w:tcPr>
          <w:p w14:paraId="049A0DBE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1D6A0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0" w:type="pct"/>
          </w:tcPr>
          <w:p w14:paraId="22DB66F6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承担单位</w:t>
            </w:r>
          </w:p>
        </w:tc>
        <w:tc>
          <w:tcPr>
            <w:tcW w:w="2149" w:type="pct"/>
          </w:tcPr>
          <w:p w14:paraId="6B38C0EF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29" w:type="pct"/>
          </w:tcPr>
          <w:p w14:paraId="48DAC644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项目编号</w:t>
            </w:r>
          </w:p>
        </w:tc>
        <w:tc>
          <w:tcPr>
            <w:tcW w:w="921" w:type="pct"/>
            <w:vAlign w:val="center"/>
          </w:tcPr>
          <w:p w14:paraId="0212BEB8">
            <w:pPr>
              <w:overflowPunct/>
              <w:spacing w:line="240" w:lineRule="auto"/>
              <w:jc w:val="lef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u w:val="single"/>
                <w:vertAlign w:val="baseline"/>
                <w:lang w:val="en-US" w:eastAsia="zh-CN"/>
              </w:rPr>
            </w:pPr>
          </w:p>
        </w:tc>
      </w:tr>
      <w:tr w14:paraId="2EA23D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0" w:type="pct"/>
          </w:tcPr>
          <w:p w14:paraId="6F98E072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起止时间</w:t>
            </w:r>
          </w:p>
        </w:tc>
        <w:tc>
          <w:tcPr>
            <w:tcW w:w="2149" w:type="pct"/>
          </w:tcPr>
          <w:p w14:paraId="237A3926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29" w:type="pct"/>
          </w:tcPr>
          <w:p w14:paraId="430ED4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省财政</w:t>
            </w:r>
          </w:p>
          <w:p w14:paraId="484211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已收回金额</w:t>
            </w:r>
          </w:p>
        </w:tc>
        <w:tc>
          <w:tcPr>
            <w:tcW w:w="921" w:type="pct"/>
            <w:vAlign w:val="center"/>
          </w:tcPr>
          <w:p w14:paraId="11299E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u w:val="none"/>
                <w:vertAlign w:val="baseline"/>
                <w:lang w:val="en-US" w:eastAsia="zh-CN"/>
              </w:rPr>
              <w:t>元</w:t>
            </w:r>
          </w:p>
        </w:tc>
      </w:tr>
      <w:tr w14:paraId="56201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0" w:type="pct"/>
            <w:vMerge w:val="restart"/>
            <w:vAlign w:val="center"/>
          </w:tcPr>
          <w:p w14:paraId="7C4BA7EE">
            <w:pPr>
              <w:overflowPunct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省知识</w:t>
            </w:r>
          </w:p>
          <w:p w14:paraId="36645FF9">
            <w:pPr>
              <w:overflowPunct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产权局</w:t>
            </w:r>
          </w:p>
          <w:p w14:paraId="66F4C60E">
            <w:pPr>
              <w:overflowPunct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拨款金</w:t>
            </w:r>
          </w:p>
          <w:p w14:paraId="1449D8DF">
            <w:pPr>
              <w:overflowPunct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额：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vertAlign w:val="baseline"/>
                <w:lang w:val="en-US" w:eastAsia="zh-CN"/>
              </w:rPr>
              <w:t>万元</w:t>
            </w:r>
          </w:p>
        </w:tc>
        <w:tc>
          <w:tcPr>
            <w:tcW w:w="4099" w:type="pct"/>
            <w:gridSpan w:val="3"/>
            <w:vAlign w:val="bottom"/>
          </w:tcPr>
          <w:p w14:paraId="2412DFAE">
            <w:pPr>
              <w:wordWrap w:val="0"/>
              <w:overflowPunct/>
              <w:spacing w:line="240" w:lineRule="auto"/>
              <w:jc w:val="both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支出金额：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vertAlign w:val="baseline"/>
                <w:lang w:val="en-US" w:eastAsia="zh-CN"/>
              </w:rPr>
              <w:t>元；  结余金额：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vertAlign w:val="baseline"/>
                <w:lang w:val="en-US" w:eastAsia="zh-CN"/>
              </w:rPr>
              <w:t>元。</w:t>
            </w:r>
          </w:p>
        </w:tc>
      </w:tr>
      <w:tr w14:paraId="5422F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0" w:type="pct"/>
            <w:vMerge w:val="continue"/>
          </w:tcPr>
          <w:p w14:paraId="67D49404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099" w:type="pct"/>
            <w:gridSpan w:val="3"/>
            <w:vAlign w:val="bottom"/>
          </w:tcPr>
          <w:p w14:paraId="5209AF2D">
            <w:pPr>
              <w:overflowPunct/>
              <w:spacing w:line="240" w:lineRule="auto"/>
              <w:ind w:firstLine="2520" w:firstLineChars="900"/>
              <w:jc w:val="righ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资金支出明细          </w:t>
            </w: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val="en-US" w:eastAsia="zh-CN"/>
              </w:rPr>
              <w:t>单位：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元</w:t>
            </w:r>
          </w:p>
        </w:tc>
      </w:tr>
      <w:tr w14:paraId="408AB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</w:trPr>
        <w:tc>
          <w:tcPr>
            <w:tcW w:w="900" w:type="pct"/>
            <w:vMerge w:val="continue"/>
          </w:tcPr>
          <w:p w14:paraId="6D2795FD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49" w:type="pct"/>
          </w:tcPr>
          <w:p w14:paraId="30019D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一、直接费用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73280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1.设备费</w:t>
            </w:r>
          </w:p>
          <w:p w14:paraId="2B704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（1）购置设备费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70080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（2）试制设备费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7E1AB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（3）设备改造与租赁费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4B20FC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2.材料费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45621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3.测试化验加工费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55FC0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4.燃料动力费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0CD901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5.差旅费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  <w:tc>
          <w:tcPr>
            <w:tcW w:w="1950" w:type="pct"/>
            <w:gridSpan w:val="2"/>
          </w:tcPr>
          <w:p w14:paraId="484D6B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6.会议费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4BEDD9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7.合作研究与交流费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</w:t>
            </w:r>
          </w:p>
          <w:p w14:paraId="58CF2B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8.出版/文献/信息传播/知识产权事务费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</w:p>
          <w:p w14:paraId="1D7C87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9.劳务费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55E0D6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10.专家咨询费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</w:p>
          <w:p w14:paraId="12605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11.其他支出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6EB4B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二、间接费用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  <w:p w14:paraId="0A495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其中：绩效支出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/>
                <w:vertAlign w:val="baseline"/>
                <w:lang w:val="en-US"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</w:tr>
      <w:tr w14:paraId="7B41CD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9" w:hRule="atLeast"/>
        </w:trPr>
        <w:tc>
          <w:tcPr>
            <w:tcW w:w="5000" w:type="pct"/>
            <w:gridSpan w:val="4"/>
          </w:tcPr>
          <w:p w14:paraId="6FC97843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项目负责人签字：</w:t>
            </w:r>
          </w:p>
          <w:p w14:paraId="17DB8491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  <w:p w14:paraId="1499853B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财务负责人签字：</w:t>
            </w:r>
          </w:p>
          <w:p w14:paraId="4DB40749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  <w:p w14:paraId="7CABFCE0">
            <w:pPr>
              <w:overflowPunct/>
              <w:spacing w:line="240" w:lineRule="auto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项目承担单位财务专用章</w:t>
            </w:r>
          </w:p>
          <w:p w14:paraId="5D15D837">
            <w:pPr>
              <w:overflowPunct/>
              <w:spacing w:line="240" w:lineRule="auto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      年   月   日</w:t>
            </w:r>
          </w:p>
        </w:tc>
      </w:tr>
    </w:tbl>
    <w:p w14:paraId="30944A76">
      <w:pPr>
        <w:overflowPunct/>
        <w:spacing w:line="240" w:lineRule="auto"/>
        <w:textAlignment w:val="auto"/>
        <w:rPr>
          <w:rFonts w:hint="default"/>
          <w:lang w:val="en-US" w:eastAsia="zh-CN"/>
        </w:rPr>
      </w:pPr>
      <w:r>
        <w:rPr>
          <w:rFonts w:hint="eastAsia" w:ascii="Calibri" w:hAnsi="Calibri" w:eastAsia="宋体" w:cs="Times New Roman"/>
          <w:sz w:val="21"/>
          <w:szCs w:val="24"/>
          <w:lang w:val="en-US" w:eastAsia="zh-CN"/>
        </w:rPr>
        <w:t>注：本资金原则上用于设备材料、化验、动力等费用。</w:t>
      </w:r>
    </w:p>
    <w:bookmarkEnd w:id="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DE3E0C"/>
    <w:rsid w:val="19DE0F81"/>
    <w:rsid w:val="3FDE3E0C"/>
    <w:rsid w:val="44737FD9"/>
    <w:rsid w:val="594239AC"/>
    <w:rsid w:val="799B41AE"/>
    <w:rsid w:val="7EA021D3"/>
    <w:rsid w:val="7F7BC8D2"/>
    <w:rsid w:val="F4E78F9C"/>
    <w:rsid w:val="FD7950F9"/>
    <w:rsid w:val="FE7FA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277</Characters>
  <Lines>0</Lines>
  <Paragraphs>0</Paragraphs>
  <TotalTime>0</TotalTime>
  <ScaleCrop>false</ScaleCrop>
  <LinksUpToDate>false</LinksUpToDate>
  <CharactersWithSpaces>477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2022-11-16T12:45:00Z</dcterms:created>
  <dc:creator>baixin</dc:creator>
  <cp:lastModifiedBy>空。</cp:lastModifiedBy>
  <dcterms:modified xsi:type="dcterms:W3CDTF">2025-05-06T03:40:25Z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eyJoZGlkIjoiMjNkNzFkMWRkNjMyNDJhMThkMjk4NzJiZTBkMzA2MjgiLCJ1c2VySWQiOiI3NTk3MDk5MDcifQ==</vt:lpwstr>
  </property>
  <property fmtid="{D5CDD505-2E9C-101B-9397-08002B2CF9AE}" pid="4" name="ICV">
    <vt:lpwstr>5370FB1B4D0D460E83E0B8ADAD35DDC1_12</vt:lpwstr>
  </property>
</Properties>
</file>