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307" w:afterLines="50" w:line="594" w:lineRule="exact"/>
        <w:ind w:right="1753" w:rightChars="555"/>
        <w:rPr>
          <w:rFonts w:hint="eastAsia" w:ascii="Times New Roman" w:hAnsi="Times New Roman" w:eastAsia="黑体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Cs w:val="32"/>
          <w:lang w:val="en-US" w:eastAsia="zh-CN"/>
        </w:rPr>
        <w:t>1</w:t>
      </w: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仪器仪表计量测试评价/应用验证评价申请表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3" w:type="dxa"/>
          <w:left w:w="108" w:type="dxa"/>
          <w:bottom w:w="53" w:type="dxa"/>
          <w:right w:w="108" w:type="dxa"/>
        </w:tblCellMar>
      </w:tblPr>
      <w:tblGrid>
        <w:gridCol w:w="2281"/>
        <w:gridCol w:w="2662"/>
        <w:gridCol w:w="1950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490" w:hRule="atLeast"/>
        </w:trPr>
        <w:tc>
          <w:tcPr>
            <w:tcW w:w="9174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1.申请企业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227" w:hRule="atLeast"/>
        </w:trPr>
        <w:tc>
          <w:tcPr>
            <w:tcW w:w="228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26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22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510" w:hRule="atLeast"/>
        </w:trPr>
        <w:tc>
          <w:tcPr>
            <w:tcW w:w="2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6893" w:type="dxa"/>
            <w:gridSpan w:val="3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510" w:hRule="atLeast"/>
        </w:trPr>
        <w:tc>
          <w:tcPr>
            <w:tcW w:w="2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生产地址</w:t>
            </w:r>
          </w:p>
        </w:tc>
        <w:tc>
          <w:tcPr>
            <w:tcW w:w="6893" w:type="dxa"/>
            <w:gridSpan w:val="3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510" w:hRule="atLeast"/>
        </w:trPr>
        <w:tc>
          <w:tcPr>
            <w:tcW w:w="2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电话/手机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电子信箱</w:t>
            </w:r>
          </w:p>
        </w:tc>
        <w:tc>
          <w:tcPr>
            <w:tcW w:w="6893" w:type="dxa"/>
            <w:gridSpan w:val="3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23" w:hRule="atLeast"/>
        </w:trPr>
        <w:tc>
          <w:tcPr>
            <w:tcW w:w="9174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2.仪器仪表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23" w:hRule="atLeast"/>
        </w:trPr>
        <w:tc>
          <w:tcPr>
            <w:tcW w:w="2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仪器仪表类别</w:t>
            </w:r>
          </w:p>
        </w:tc>
        <w:tc>
          <w:tcPr>
            <w:tcW w:w="6893" w:type="dxa"/>
            <w:gridSpan w:val="3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气相/液相色谱仪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无机质谱仪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光谱仪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激光共聚焦显微镜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椭偏仪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基因测序仪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充电桩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数据网络性能测试仪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726" w:hRule="atLeast"/>
        </w:trPr>
        <w:tc>
          <w:tcPr>
            <w:tcW w:w="2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仪器仪表名称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及型号规格</w:t>
            </w:r>
          </w:p>
        </w:tc>
        <w:tc>
          <w:tcPr>
            <w:tcW w:w="689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23" w:hRule="atLeast"/>
        </w:trPr>
        <w:tc>
          <w:tcPr>
            <w:tcW w:w="2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</w:rPr>
              <w:t>仪器仪表企业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</w:rPr>
              <w:t>年生产量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</w:rPr>
              <w:t>（台/套）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</w:rPr>
              <w:t>仪器仪表企业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</w:rPr>
              <w:t>年销售量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</w:rPr>
              <w:t>（台/套）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564" w:hRule="atLeast"/>
        </w:trPr>
        <w:tc>
          <w:tcPr>
            <w:tcW w:w="9174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3.声明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2055" w:hRule="atLeast"/>
        </w:trPr>
        <w:tc>
          <w:tcPr>
            <w:tcW w:w="9174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ind w:firstLine="552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企业自愿申请参加此次仪器仪表计量测试评价/应用验证评价工作，遵守相关工作规定，并对申请表和提供的相关技术文件资料真实性和完整性负责。申请通过后将按要求提供相关仪器仪表产品作为评价样机。此次申请评价的仪器仪表产品已投入市场使用，为本企业自主研制或所有。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申请企业（盖章）：</w:t>
            </w:r>
          </w:p>
          <w:p>
            <w:pPr>
              <w:snapToGrid w:val="0"/>
              <w:spacing w:line="400" w:lineRule="exact"/>
              <w:ind w:firstLine="5796" w:firstLineChars="2100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月     日</w:t>
            </w:r>
          </w:p>
        </w:tc>
      </w:tr>
    </w:tbl>
    <w:p/>
    <w:sectPr>
      <w:footerReference r:id="rId5" w:type="default"/>
      <w:footerReference r:id="rId6" w:type="even"/>
      <w:pgSz w:w="11906" w:h="16838"/>
      <w:pgMar w:top="1417" w:right="1474" w:bottom="1644" w:left="1474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topLinePunct w:val="0"/>
      <w:autoSpaceDE w:val="0"/>
      <w:autoSpaceDN w:val="0"/>
      <w:bidi w:val="0"/>
      <w:adjustRightInd w:val="0"/>
      <w:snapToGrid/>
      <w:spacing w:line="471" w:lineRule="auto"/>
      <w:ind w:left="320" w:leftChars="100" w:right="0" w:rightChars="0" w:firstLine="0" w:firstLineChars="0"/>
      <w:jc w:val="left"/>
      <w:textAlignment w:val="baseline"/>
      <w:outlineLvl w:val="9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92075</wp:posOffset>
              </wp:positionH>
              <wp:positionV relativeFrom="paragraph">
                <wp:posOffset>15240</wp:posOffset>
              </wp:positionV>
              <wp:extent cx="1742440" cy="342900"/>
              <wp:effectExtent l="0" t="0" r="1016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2440" cy="3429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FFFFF"/>
                          </a:gs>
                        </a:gsLst>
                        <a:lin ang="0"/>
                        <a:tileRect/>
                      </a:gradFill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.25pt;margin-top:1.2pt;height:27pt;width:137.2pt;z-index:251659264;mso-width-relative:page;mso-height-relative:page;" fillcolor="#FFFFFF" filled="t" stroked="f" coordsize="21600,21600" o:gfxdata="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Auy2NcA&#10;AAAHAQAADwAAAAAAAAABACAAAAAiAAAAZHJzL2Rvd25yZXYueG1sUEsBAhQAFAAAAAgAh07iQFyL&#10;DS8gAgAASQQAAA4AAAAAAAAAAQAgAAAAJgEAAGRycy9lMm9Eb2MueG1sUEsFBgAAAAAGAAYAWQEA&#10;ALgFAAAAAA==&#10;">
              <v:path/>
              <v:fill type="gradient" on="t" color2="#FFFFFF" angle="90" focus="100%" focussize="0f,0f">
                <o:fill type="gradientUnscaled" v:ext="backwardCompatible"/>
              </v:fill>
              <v:stroke on="f" weight="1.2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0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spacing w:line="240" w:lineRule="auto"/>
      <w:jc w:val="both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overflowPunct w:val="0"/>
      <w:topLinePunct/>
    </w:pPr>
    <w:rPr>
      <w:rFonts w:ascii="宋体" w:hAnsi="Courier New" w:eastAsia="仿宋_GB2312" w:cs="宋体"/>
      <w:sz w:val="32"/>
      <w:szCs w:val="21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2025-05-07T07:36:31Z</dcterms:created>
  <dc:creator>oo</dc:creator>
  <cp:lastModifiedBy>杨东</cp:lastModifiedBy>
  <dcterms:modified xsi:type="dcterms:W3CDTF">2025-05-07T07:39:51Z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800027395A824AB59D768F673C277C44_12</vt:lpwstr>
  </property>
</Properties>
</file>