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4F67D">
      <w:pPr>
        <w:spacing w:line="404" w:lineRule="auto"/>
        <w:rPr>
          <w:rFonts w:ascii="Arial"/>
          <w:sz w:val="21"/>
        </w:rPr>
      </w:pPr>
    </w:p>
    <w:p w14:paraId="2FCE8647">
      <w:pPr>
        <w:spacing w:before="82" w:line="224" w:lineRule="auto"/>
        <w:ind w:left="133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附</w:t>
      </w:r>
      <w:r>
        <w:rPr>
          <w:rFonts w:ascii="黑体" w:hAnsi="黑体" w:eastAsia="黑体" w:cs="黑体"/>
          <w:spacing w:val="-30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件</w:t>
      </w:r>
      <w:r>
        <w:rPr>
          <w:rFonts w:ascii="黑体" w:hAnsi="黑体" w:eastAsia="黑体" w:cs="黑体"/>
          <w:spacing w:val="-16"/>
          <w:sz w:val="25"/>
          <w:szCs w:val="25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5"/>
          <w:szCs w:val="25"/>
        </w:rPr>
        <w:t>1</w:t>
      </w:r>
    </w:p>
    <w:p w14:paraId="52F2A771">
      <w:pPr>
        <w:spacing w:line="273" w:lineRule="auto"/>
        <w:rPr>
          <w:rFonts w:ascii="Arial"/>
          <w:sz w:val="21"/>
        </w:rPr>
      </w:pPr>
    </w:p>
    <w:p w14:paraId="1D9BF61E">
      <w:pPr>
        <w:spacing w:before="247" w:line="219" w:lineRule="auto"/>
        <w:jc w:val="right"/>
        <w:rPr>
          <w:rFonts w:ascii="宋体" w:hAnsi="宋体" w:eastAsia="宋体" w:cs="宋体"/>
          <w:sz w:val="76"/>
          <w:szCs w:val="76"/>
        </w:rPr>
      </w:pPr>
      <w:r>
        <w:rPr>
          <w:rFonts w:ascii="宋体" w:hAnsi="宋体" w:eastAsia="宋体" w:cs="宋体"/>
          <w:b/>
          <w:bCs/>
          <w:color w:val="F02010"/>
          <w:spacing w:val="-77"/>
          <w:w w:val="91"/>
          <w:sz w:val="76"/>
          <w:szCs w:val="76"/>
        </w:rPr>
        <w:t>山西省人力资源和社会保</w:t>
      </w:r>
      <w:r>
        <w:rPr>
          <w:rFonts w:ascii="宋体" w:hAnsi="宋体" w:eastAsia="宋体" w:cs="宋体"/>
          <w:b/>
          <w:bCs/>
          <w:color w:val="F02010"/>
          <w:spacing w:val="-76"/>
          <w:w w:val="91"/>
          <w:sz w:val="76"/>
          <w:szCs w:val="76"/>
        </w:rPr>
        <w:t>障</w:t>
      </w:r>
      <w:r>
        <w:rPr>
          <w:rFonts w:ascii="宋体" w:hAnsi="宋体" w:eastAsia="宋体" w:cs="宋体"/>
          <w:b/>
          <w:bCs/>
          <w:color w:val="F02010"/>
          <w:spacing w:val="-39"/>
          <w:w w:val="91"/>
          <w:sz w:val="76"/>
          <w:szCs w:val="76"/>
        </w:rPr>
        <w:t>厅</w:t>
      </w:r>
    </w:p>
    <w:p w14:paraId="560CBA33">
      <w:pPr>
        <w:spacing w:before="72" w:line="60" w:lineRule="exact"/>
        <w:ind w:firstLine="50"/>
      </w:pPr>
      <w:r>
        <w:rPr>
          <w:position w:val="-1"/>
        </w:rPr>
        <w:drawing>
          <wp:inline distT="0" distB="0" distL="0" distR="0">
            <wp:extent cx="5391150" cy="381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1178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E23BD">
      <w:pPr>
        <w:pStyle w:val="2"/>
        <w:spacing w:before="179" w:line="222" w:lineRule="auto"/>
        <w:ind w:left="5020"/>
        <w:rPr>
          <w:sz w:val="28"/>
          <w:szCs w:val="28"/>
        </w:rPr>
      </w:pPr>
      <w:r>
        <w:rPr>
          <w:spacing w:val="4"/>
          <w:sz w:val="28"/>
          <w:szCs w:val="28"/>
        </w:rPr>
        <w:t>晋人社厅函〔2025〕560号</w:t>
      </w:r>
    </w:p>
    <w:p w14:paraId="657CC141">
      <w:pPr>
        <w:spacing w:line="286" w:lineRule="auto"/>
        <w:rPr>
          <w:rFonts w:ascii="Arial"/>
          <w:sz w:val="21"/>
        </w:rPr>
      </w:pPr>
    </w:p>
    <w:p w14:paraId="029C80E9">
      <w:pPr>
        <w:spacing w:line="286" w:lineRule="auto"/>
        <w:rPr>
          <w:rFonts w:ascii="Arial"/>
          <w:sz w:val="21"/>
        </w:rPr>
      </w:pPr>
    </w:p>
    <w:p w14:paraId="79187804">
      <w:pPr>
        <w:spacing w:before="127"/>
        <w:ind w:left="3385" w:right="1355" w:hanging="183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关于做好2025年度全省职称评审</w:t>
      </w:r>
      <w:r>
        <w:rPr>
          <w:rFonts w:ascii="宋体" w:hAnsi="宋体" w:eastAsia="宋体" w:cs="宋体"/>
          <w:spacing w:val="9"/>
          <w:sz w:val="39"/>
          <w:szCs w:val="39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9"/>
          <w:szCs w:val="39"/>
        </w:rPr>
        <w:t>工作的通知</w:t>
      </w:r>
      <w:bookmarkStart w:id="0" w:name="_GoBack"/>
      <w:bookmarkEnd w:id="0"/>
    </w:p>
    <w:p w14:paraId="1AECBD5E">
      <w:pPr>
        <w:spacing w:line="265" w:lineRule="auto"/>
        <w:rPr>
          <w:rFonts w:ascii="Arial"/>
          <w:sz w:val="21"/>
        </w:rPr>
      </w:pPr>
    </w:p>
    <w:p w14:paraId="034F3D4D">
      <w:pPr>
        <w:spacing w:line="265" w:lineRule="auto"/>
        <w:rPr>
          <w:rFonts w:ascii="Arial"/>
          <w:sz w:val="21"/>
        </w:rPr>
      </w:pPr>
    </w:p>
    <w:p w14:paraId="75B2A62C">
      <w:pPr>
        <w:pStyle w:val="2"/>
        <w:spacing w:before="91" w:line="336" w:lineRule="auto"/>
        <w:ind w:left="420" w:right="241"/>
        <w:rPr>
          <w:sz w:val="28"/>
          <w:szCs w:val="28"/>
        </w:rPr>
      </w:pPr>
      <w:r>
        <w:rPr>
          <w:spacing w:val="1"/>
          <w:sz w:val="28"/>
          <w:szCs w:val="28"/>
        </w:rPr>
        <w:t>各市人力资源和社会保障局，省直有关单位职称管理部门，有关</w:t>
      </w:r>
      <w:r>
        <w:rPr>
          <w:spacing w:val="12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企事业单位：</w:t>
      </w:r>
    </w:p>
    <w:p w14:paraId="2ECFBC27">
      <w:pPr>
        <w:pStyle w:val="2"/>
        <w:spacing w:before="2" w:line="340" w:lineRule="auto"/>
        <w:ind w:left="420" w:right="153" w:firstLine="599"/>
        <w:jc w:val="both"/>
        <w:rPr>
          <w:sz w:val="28"/>
          <w:szCs w:val="28"/>
        </w:rPr>
      </w:pPr>
      <w:r>
        <w:rPr>
          <w:sz w:val="28"/>
          <w:szCs w:val="28"/>
        </w:rPr>
        <w:t>为进一步全面深化职称制度改革，更好发挥职称评价导向和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激励作用，持续推进我省专业技术人才队伍高素质和工作高水平</w:t>
      </w:r>
      <w:r>
        <w:rPr>
          <w:spacing w:val="9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发展，现就做好2025年度全省职称评审工作有关事项通知如下。</w:t>
      </w:r>
    </w:p>
    <w:p w14:paraId="22940B5A">
      <w:pPr>
        <w:pStyle w:val="2"/>
        <w:spacing w:before="3" w:line="336" w:lineRule="auto"/>
        <w:ind w:left="420" w:right="232" w:firstLine="599"/>
        <w:jc w:val="both"/>
        <w:rPr>
          <w:sz w:val="28"/>
          <w:szCs w:val="28"/>
        </w:rPr>
      </w:pPr>
      <w:r>
        <w:rPr>
          <w:sz w:val="28"/>
          <w:szCs w:val="28"/>
        </w:rPr>
        <w:t>一、进一步规范专业技术人员职称初定工作。各市人力资源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和社会保障局、省行业主管部门要根据《关于专</w:t>
      </w:r>
      <w:r>
        <w:rPr>
          <w:spacing w:val="1"/>
          <w:sz w:val="28"/>
          <w:szCs w:val="28"/>
        </w:rPr>
        <w:t>业技术人员职称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初定有关事项的通知》(晋人社厅发[2024]52号)要求，认</w:t>
      </w:r>
      <w:r>
        <w:rPr>
          <w:spacing w:val="9"/>
          <w:sz w:val="28"/>
          <w:szCs w:val="28"/>
        </w:rPr>
        <w:t>真研</w:t>
      </w:r>
      <w:r>
        <w:rPr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究，列出本系列(专业)符合初定职称对应的学历</w:t>
      </w:r>
      <w:r>
        <w:rPr>
          <w:spacing w:val="4"/>
          <w:sz w:val="28"/>
          <w:szCs w:val="28"/>
        </w:rPr>
        <w:t>专业，2025年7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月底前报省人力资源和社会保障厅，形成初定专业目录后由省人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力资源和社会保障厅向社会公布。各单位要按照职称评审管理权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限或人事管理权限，严格在初定专业目录范围内规范做好本单位</w:t>
      </w:r>
      <w:r>
        <w:rPr>
          <w:spacing w:val="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专业技术人员职称初定工作。</w:t>
      </w:r>
    </w:p>
    <w:p w14:paraId="4081775C">
      <w:pPr>
        <w:pStyle w:val="2"/>
        <w:spacing w:before="50" w:line="335" w:lineRule="auto"/>
        <w:ind w:left="420" w:right="219" w:firstLine="599"/>
        <w:jc w:val="both"/>
        <w:rPr>
          <w:sz w:val="28"/>
          <w:szCs w:val="28"/>
        </w:rPr>
      </w:pPr>
      <w:r>
        <w:rPr>
          <w:spacing w:val="11"/>
          <w:sz w:val="28"/>
          <w:szCs w:val="28"/>
        </w:rPr>
        <w:t>博士研究生毕业后进入博士后科研工作(流动)站或博士后</w:t>
      </w:r>
      <w:r>
        <w:rPr>
          <w:spacing w:val="17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创新实践基地全职从事博士后研究工作的，设站(基地)单位要</w:t>
      </w:r>
      <w:r>
        <w:rPr>
          <w:spacing w:val="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及时按规定和程序初定中级职称。</w:t>
      </w:r>
    </w:p>
    <w:p w14:paraId="6FC5B121">
      <w:pPr>
        <w:spacing w:line="60" w:lineRule="exact"/>
      </w:pPr>
      <w:r>
        <w:rPr>
          <w:position w:val="-1"/>
        </w:rPr>
        <w:drawing>
          <wp:inline distT="0" distB="0" distL="0" distR="0">
            <wp:extent cx="5384800" cy="381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4825" cy="3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8A99D">
      <w:pPr>
        <w:spacing w:line="60" w:lineRule="exact"/>
        <w:sectPr>
          <w:footerReference r:id="rId5" w:type="default"/>
          <w:pgSz w:w="11910" w:h="16840"/>
          <w:pgMar w:top="1431" w:right="1786" w:bottom="1533" w:left="1579" w:header="0" w:footer="1193" w:gutter="0"/>
          <w:cols w:space="720" w:num="1"/>
        </w:sectPr>
      </w:pPr>
    </w:p>
    <w:p w14:paraId="3B0378C6">
      <w:pPr>
        <w:spacing w:line="465" w:lineRule="auto"/>
        <w:rPr>
          <w:rFonts w:ascii="Arial"/>
          <w:sz w:val="21"/>
        </w:rPr>
      </w:pPr>
    </w:p>
    <w:p w14:paraId="65DD7E22">
      <w:pPr>
        <w:pStyle w:val="2"/>
        <w:spacing w:before="100" w:line="321" w:lineRule="auto"/>
        <w:ind w:firstLine="639"/>
        <w:rPr>
          <w:sz w:val="31"/>
          <w:szCs w:val="31"/>
        </w:rPr>
      </w:pPr>
      <w:r>
        <w:rPr>
          <w:spacing w:val="9"/>
          <w:sz w:val="31"/>
          <w:szCs w:val="31"/>
        </w:rPr>
        <w:t>二、动态调整职称评审专业。畅通专业技术人才职业发展通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道，在工程系列增设网络安全和信息化专业，在公共法律服务系</w:t>
      </w:r>
      <w:r>
        <w:rPr>
          <w:spacing w:val="6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列增设司法鉴定人专业，单独制定考评条件，单独开展评</w:t>
      </w:r>
      <w:r>
        <w:rPr>
          <w:spacing w:val="1"/>
          <w:sz w:val="31"/>
          <w:szCs w:val="31"/>
        </w:rPr>
        <w:t>审工作。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优化山西省经济系列高级职称评审专业布局。</w:t>
      </w:r>
    </w:p>
    <w:p w14:paraId="2762CC86">
      <w:pPr>
        <w:pStyle w:val="2"/>
        <w:spacing w:before="248" w:line="342" w:lineRule="auto"/>
        <w:ind w:right="109" w:firstLine="639"/>
        <w:rPr>
          <w:sz w:val="26"/>
          <w:szCs w:val="26"/>
        </w:rPr>
      </w:pPr>
      <w:r>
        <w:rPr>
          <w:spacing w:val="9"/>
          <w:sz w:val="31"/>
          <w:szCs w:val="31"/>
        </w:rPr>
        <w:t>三、创新职称申报方式。探索实行高级职称</w:t>
      </w:r>
      <w:r>
        <w:rPr>
          <w:spacing w:val="8"/>
          <w:sz w:val="31"/>
          <w:szCs w:val="31"/>
        </w:rPr>
        <w:t>申报举荐制，全</w:t>
      </w:r>
      <w:r>
        <w:rPr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省专精特新中小企业和制造业单项冠军企业内具有突出技术创</w:t>
      </w:r>
      <w:r>
        <w:rPr>
          <w:spacing w:val="17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新能力、取得原创性科技成果以及作出重大贡献，符合破</w:t>
      </w:r>
      <w:r>
        <w:rPr>
          <w:spacing w:val="8"/>
          <w:sz w:val="31"/>
          <w:szCs w:val="31"/>
        </w:rPr>
        <w:t>格条件</w:t>
      </w:r>
      <w:r>
        <w:rPr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的优秀工程技术人才，经企业董事长(或研发团队技术带头人)</w:t>
      </w:r>
      <w:r>
        <w:rPr>
          <w:spacing w:val="2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署名举荐，可直接向工程系列各高级职称评审委员会申报评审高</w:t>
      </w:r>
      <w:r>
        <w:rPr>
          <w:spacing w:val="2"/>
          <w:sz w:val="31"/>
          <w:szCs w:val="31"/>
        </w:rPr>
        <w:t xml:space="preserve"> </w:t>
      </w:r>
      <w:r>
        <w:rPr>
          <w:spacing w:val="27"/>
          <w:sz w:val="26"/>
          <w:szCs w:val="26"/>
        </w:rPr>
        <w:t>级职称</w:t>
      </w:r>
      <w:r>
        <w:rPr>
          <w:spacing w:val="-65"/>
          <w:sz w:val="26"/>
          <w:szCs w:val="26"/>
        </w:rPr>
        <w:t xml:space="preserve"> </w:t>
      </w:r>
      <w:r>
        <w:rPr>
          <w:spacing w:val="27"/>
          <w:sz w:val="26"/>
          <w:szCs w:val="26"/>
        </w:rPr>
        <w:t>。</w:t>
      </w:r>
    </w:p>
    <w:p w14:paraId="2F5596E6">
      <w:pPr>
        <w:pStyle w:val="2"/>
        <w:spacing w:before="233" w:line="336" w:lineRule="auto"/>
        <w:ind w:right="110" w:firstLine="639"/>
        <w:rPr>
          <w:sz w:val="31"/>
          <w:szCs w:val="31"/>
        </w:rPr>
      </w:pPr>
      <w:r>
        <w:rPr>
          <w:spacing w:val="6"/>
          <w:sz w:val="31"/>
          <w:szCs w:val="31"/>
        </w:rPr>
        <w:t>四</w:t>
      </w:r>
      <w:r>
        <w:rPr>
          <w:spacing w:val="-73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、进一步拓宽职称评审绿色通道。在我省就业</w:t>
      </w:r>
      <w:r>
        <w:rPr>
          <w:spacing w:val="5"/>
          <w:sz w:val="31"/>
          <w:szCs w:val="31"/>
        </w:rPr>
        <w:t>的港澳台专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业技术人员，以及持有外国人永久居留身份证或取得外国人来华</w:t>
      </w:r>
      <w:r>
        <w:rPr>
          <w:spacing w:val="1"/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工作许可的外籍人员，可参加相应系列(专业)职称评审。</w:t>
      </w:r>
      <w:r>
        <w:rPr>
          <w:spacing w:val="19"/>
          <w:sz w:val="31"/>
          <w:szCs w:val="31"/>
        </w:rPr>
        <w:t>支持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高校选派的入企工科教师参评工程系列职称，符合条件的</w:t>
      </w:r>
      <w:r>
        <w:rPr>
          <w:spacing w:val="8"/>
          <w:sz w:val="31"/>
          <w:szCs w:val="31"/>
        </w:rPr>
        <w:t>工科教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师无需转评，直接跨系列申报评审高一级工程系列职称。从各类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企业流动到事业单位工作，同级职称任职时间可连续计算。</w:t>
      </w:r>
    </w:p>
    <w:p w14:paraId="56541EC5">
      <w:pPr>
        <w:pStyle w:val="2"/>
        <w:spacing w:before="232" w:line="334" w:lineRule="auto"/>
        <w:ind w:right="90" w:firstLine="639"/>
        <w:rPr>
          <w:sz w:val="31"/>
          <w:szCs w:val="31"/>
        </w:rPr>
      </w:pPr>
      <w:r>
        <w:rPr>
          <w:spacing w:val="10"/>
          <w:sz w:val="31"/>
          <w:szCs w:val="31"/>
        </w:rPr>
        <w:t>五、推动职称制度与人才培养和科技创新制</w:t>
      </w:r>
      <w:r>
        <w:rPr>
          <w:spacing w:val="9"/>
          <w:sz w:val="31"/>
          <w:szCs w:val="31"/>
        </w:rPr>
        <w:t>度有效衔接。参</w:t>
      </w:r>
      <w:r>
        <w:rPr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加专业技术人才知识更新工程数字技术工程</w:t>
      </w:r>
      <w:r>
        <w:rPr>
          <w:spacing w:val="20"/>
          <w:sz w:val="31"/>
          <w:szCs w:val="31"/>
        </w:rPr>
        <w:t>师培育项目培训评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价的人员，取得高级数字技术工程师等级证书的可作为申报高级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工程师职称的重要业绩成果；取得初、中级数字技术工程师等级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证书的，可认定其具备初、中级工程师职称，并可作为申报高一</w:t>
      </w:r>
      <w:r>
        <w:rPr>
          <w:spacing w:val="2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级职称的条件。根据国家有关文件精神，在各级各类涉及专利的</w:t>
      </w:r>
    </w:p>
    <w:p w14:paraId="2F712000">
      <w:pPr>
        <w:spacing w:line="334" w:lineRule="auto"/>
        <w:rPr>
          <w:sz w:val="31"/>
          <w:szCs w:val="31"/>
        </w:rPr>
        <w:sectPr>
          <w:footerReference r:id="rId6" w:type="default"/>
          <w:pgSz w:w="11910" w:h="16840"/>
          <w:pgMar w:top="1431" w:right="1384" w:bottom="1533" w:left="1480" w:header="0" w:footer="1195" w:gutter="0"/>
          <w:cols w:space="720" w:num="1"/>
        </w:sectPr>
      </w:pPr>
    </w:p>
    <w:p w14:paraId="4E6B1169">
      <w:pPr>
        <w:spacing w:line="421" w:lineRule="auto"/>
        <w:rPr>
          <w:rFonts w:ascii="Arial"/>
          <w:sz w:val="21"/>
        </w:rPr>
      </w:pPr>
    </w:p>
    <w:p w14:paraId="3302E178">
      <w:pPr>
        <w:pStyle w:val="2"/>
        <w:spacing w:before="101" w:line="355" w:lineRule="auto"/>
        <w:ind w:right="43"/>
        <w:rPr>
          <w:sz w:val="31"/>
          <w:szCs w:val="31"/>
        </w:rPr>
      </w:pPr>
      <w:r>
        <w:rPr>
          <w:spacing w:val="8"/>
          <w:sz w:val="31"/>
          <w:szCs w:val="31"/>
        </w:rPr>
        <w:t>人才评价、项目评审、职称评定等工作中不得直接将专利申请数</w:t>
      </w:r>
      <w:r>
        <w:rPr>
          <w:spacing w:val="14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量作为主要条件，要注重专利应用和成果转化的经济社会</w:t>
      </w:r>
      <w:r>
        <w:rPr>
          <w:spacing w:val="6"/>
          <w:sz w:val="31"/>
          <w:szCs w:val="31"/>
        </w:rPr>
        <w:t>效益。</w:t>
      </w:r>
    </w:p>
    <w:p w14:paraId="6C1A301B">
      <w:pPr>
        <w:pStyle w:val="2"/>
        <w:spacing w:before="12" w:line="340" w:lineRule="auto"/>
        <w:ind w:right="20" w:firstLine="659"/>
        <w:rPr>
          <w:sz w:val="31"/>
          <w:szCs w:val="31"/>
        </w:rPr>
      </w:pPr>
      <w:r>
        <w:rPr>
          <w:spacing w:val="8"/>
          <w:sz w:val="31"/>
          <w:szCs w:val="31"/>
        </w:rPr>
        <w:t>六、严格职称委托评审程序。中央或外省驻晋国有企事业单</w:t>
      </w:r>
      <w:r>
        <w:rPr>
          <w:spacing w:val="12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位专业技术人员如需在我省申报职称评审，可委托我省经核准备</w:t>
      </w:r>
      <w:r>
        <w:rPr>
          <w:spacing w:val="8"/>
          <w:sz w:val="31"/>
          <w:szCs w:val="31"/>
        </w:rPr>
        <w:t xml:space="preserve"> 案的评审委员会进行评审。其中，高级职称由中央驻晋单位总部</w:t>
      </w:r>
      <w:r>
        <w:rPr>
          <w:spacing w:val="2"/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人力资源管理部门或外省驻晋单位的总部向省人力资源和社会</w:t>
      </w:r>
      <w:r>
        <w:rPr>
          <w:spacing w:val="8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保障厅出具委托评审函，由省人力资源和社会保障厅向</w:t>
      </w:r>
      <w:r>
        <w:rPr>
          <w:spacing w:val="8"/>
          <w:sz w:val="31"/>
          <w:szCs w:val="31"/>
        </w:rPr>
        <w:t>相应评审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委员会推荐。中、初级职称按职称评审管理权限进行委托评</w:t>
      </w:r>
      <w:r>
        <w:rPr>
          <w:spacing w:val="6"/>
          <w:sz w:val="31"/>
          <w:szCs w:val="31"/>
        </w:rPr>
        <w:t>审。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外省驻晋民营企业、外资企业专业技术人员由参加我省社保所在</w:t>
      </w:r>
      <w:r>
        <w:rPr>
          <w:spacing w:val="18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地人力资源和社会保障部门逐级推荐，不再</w:t>
      </w:r>
      <w:r>
        <w:rPr>
          <w:spacing w:val="6"/>
          <w:sz w:val="31"/>
          <w:szCs w:val="31"/>
        </w:rPr>
        <w:t>委托评审。</w:t>
      </w:r>
    </w:p>
    <w:p w14:paraId="2DB390C8">
      <w:pPr>
        <w:pStyle w:val="2"/>
        <w:spacing w:before="249" w:line="342" w:lineRule="auto"/>
        <w:ind w:firstLine="659"/>
        <w:rPr>
          <w:sz w:val="31"/>
          <w:szCs w:val="31"/>
        </w:rPr>
      </w:pPr>
      <w:r>
        <w:rPr>
          <w:spacing w:val="9"/>
          <w:sz w:val="31"/>
          <w:szCs w:val="31"/>
        </w:rPr>
        <w:t>七、规范职称评审结果审核确认和备案工作。职称评审结果</w:t>
      </w:r>
      <w:r>
        <w:rPr>
          <w:spacing w:val="7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一般由人力资源和社会保障行政部门审核确认公布。下放至各市</w:t>
      </w:r>
      <w:r>
        <w:rPr>
          <w:spacing w:val="15"/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的高级职称评审委员会(含各市自主评审三甲综合医院)的职称</w:t>
      </w:r>
      <w:r>
        <w:rPr>
          <w:spacing w:val="2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评审结果，由各市人力资源和社会保障局审核确认公布。开展自</w:t>
      </w:r>
      <w:r>
        <w:rPr>
          <w:spacing w:val="6"/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主评审单位的职称评审结果，报评审委员会核</w:t>
      </w:r>
      <w:r>
        <w:rPr>
          <w:spacing w:val="19"/>
          <w:sz w:val="31"/>
          <w:szCs w:val="31"/>
        </w:rPr>
        <w:t>准备案部门备案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后，由评审委员会组建单位审核确认公布。省行业主管部门核准</w:t>
      </w:r>
      <w:r>
        <w:rPr>
          <w:spacing w:val="13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备案的中、初级职称评审委员会的职称评审结果，报评审委员会</w:t>
      </w:r>
      <w:r>
        <w:rPr>
          <w:spacing w:val="13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核准备案部门备案后，由省行业主管部门或评审委员会组建单位</w:t>
      </w:r>
      <w:r>
        <w:rPr>
          <w:spacing w:val="6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审核确认公布。</w:t>
      </w:r>
    </w:p>
    <w:p w14:paraId="235B1D98">
      <w:pPr>
        <w:pStyle w:val="2"/>
        <w:spacing w:before="228" w:line="314" w:lineRule="auto"/>
        <w:ind w:right="17" w:firstLine="659"/>
        <w:rPr>
          <w:sz w:val="31"/>
          <w:szCs w:val="31"/>
        </w:rPr>
      </w:pPr>
      <w:r>
        <w:rPr>
          <w:spacing w:val="8"/>
          <w:sz w:val="31"/>
          <w:szCs w:val="31"/>
        </w:rPr>
        <w:t>八、严格职称申报“三公示”制度。用人单位须在单位显著</w:t>
      </w:r>
      <w:r>
        <w:rPr>
          <w:spacing w:val="16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位置张榜或在单位内部网站对评审条件和程序、个人申报材料、</w:t>
      </w:r>
      <w:r>
        <w:rPr>
          <w:spacing w:val="17"/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单位鉴定意见进行“三公示”,公示期不少于5个工作日。对未</w:t>
      </w:r>
    </w:p>
    <w:p w14:paraId="03130456">
      <w:pPr>
        <w:spacing w:line="314" w:lineRule="auto"/>
        <w:rPr>
          <w:sz w:val="31"/>
          <w:szCs w:val="31"/>
        </w:rPr>
        <w:sectPr>
          <w:footerReference r:id="rId7" w:type="default"/>
          <w:pgSz w:w="11910" w:h="16840"/>
          <w:pgMar w:top="1431" w:right="1467" w:bottom="1533" w:left="1480" w:header="0" w:footer="1195" w:gutter="0"/>
          <w:cols w:space="720" w:num="1"/>
        </w:sectPr>
      </w:pPr>
    </w:p>
    <w:p w14:paraId="585C26A7">
      <w:pPr>
        <w:spacing w:line="433" w:lineRule="auto"/>
        <w:rPr>
          <w:rFonts w:ascii="Arial"/>
          <w:sz w:val="21"/>
        </w:rPr>
      </w:pPr>
    </w:p>
    <w:p w14:paraId="2EEA4EFB">
      <w:pPr>
        <w:pStyle w:val="2"/>
        <w:spacing w:before="97" w:line="369" w:lineRule="auto"/>
        <w:ind w:right="100"/>
        <w:jc w:val="both"/>
        <w:rPr>
          <w:sz w:val="30"/>
          <w:szCs w:val="30"/>
        </w:rPr>
      </w:pPr>
      <w:r>
        <w:rPr>
          <w:spacing w:val="18"/>
          <w:sz w:val="30"/>
          <w:szCs w:val="30"/>
        </w:rPr>
        <w:t>按规定进行公示，公示内容不完整、不齐全，公示程序不符合规</w:t>
      </w:r>
      <w:r>
        <w:rPr>
          <w:spacing w:val="7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定，公示有异议或投诉举报问题未及时调查核实的申报材料，主</w:t>
      </w:r>
      <w:r>
        <w:rPr>
          <w:spacing w:val="10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管部门和各级评审委员会一律不得接收。对已审核和评审通过的</w:t>
      </w:r>
      <w:r>
        <w:rPr>
          <w:spacing w:val="6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申报人，一经核实，未严格履行公示程序的</w:t>
      </w:r>
      <w:r>
        <w:rPr>
          <w:spacing w:val="17"/>
          <w:sz w:val="30"/>
          <w:szCs w:val="30"/>
        </w:rPr>
        <w:t>取消职称申报资格或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撤销职称。对用人单位存在的违规行为予以通报批评。</w:t>
      </w:r>
    </w:p>
    <w:p w14:paraId="507E4DFA">
      <w:pPr>
        <w:pStyle w:val="2"/>
        <w:spacing w:before="30" w:line="354" w:lineRule="auto"/>
        <w:ind w:firstLine="649"/>
        <w:rPr>
          <w:sz w:val="30"/>
          <w:szCs w:val="30"/>
        </w:rPr>
      </w:pPr>
      <w:r>
        <w:rPr>
          <w:spacing w:val="19"/>
          <w:sz w:val="30"/>
          <w:szCs w:val="30"/>
        </w:rPr>
        <w:t>九、各级人力资源和社会保障部门、省行业主管部门、各级</w:t>
      </w:r>
      <w:r>
        <w:rPr>
          <w:spacing w:val="7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评审委员会要贯彻落实人社部《职称评审监管暂行办法》(人社</w:t>
      </w:r>
      <w:r>
        <w:rPr>
          <w:spacing w:val="9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部发〔2024〕56号)要求，按照“谁授权、谁负责监管，谁主责、</w:t>
      </w:r>
      <w:r>
        <w:rPr>
          <w:spacing w:val="9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谁接受监督”的原则，切实履行职称评审监管主体责任，对职称</w:t>
      </w:r>
      <w:r>
        <w:rPr>
          <w:spacing w:val="9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评审组织实施中的申报人、评审专家、职称评</w:t>
      </w:r>
      <w:r>
        <w:rPr>
          <w:spacing w:val="16"/>
          <w:sz w:val="30"/>
          <w:szCs w:val="30"/>
        </w:rPr>
        <w:t>审相关工作人员、</w:t>
      </w:r>
      <w:r>
        <w:rPr>
          <w:sz w:val="30"/>
          <w:szCs w:val="30"/>
        </w:rPr>
        <w:t xml:space="preserve">  </w:t>
      </w:r>
      <w:r>
        <w:rPr>
          <w:spacing w:val="19"/>
          <w:sz w:val="30"/>
          <w:szCs w:val="30"/>
        </w:rPr>
        <w:t>用人单位和主管部门开展全覆盖监管。要聚焦申报材料</w:t>
      </w:r>
      <w:r>
        <w:rPr>
          <w:spacing w:val="18"/>
          <w:sz w:val="30"/>
          <w:szCs w:val="30"/>
        </w:rPr>
        <w:t>审核、评</w:t>
      </w:r>
      <w:r>
        <w:rPr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审专家选取、面试答辩、综合评议等重点环节，对职称评审全过</w:t>
      </w:r>
      <w:r>
        <w:rPr>
          <w:spacing w:val="1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程实施监管，特别是对重点行业、重点领域、重点单位或易发生</w:t>
      </w:r>
      <w:r>
        <w:rPr>
          <w:spacing w:val="1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风险的评审委员会采取巡查、互查、抽查等形</w:t>
      </w:r>
      <w:r>
        <w:rPr>
          <w:spacing w:val="16"/>
          <w:sz w:val="30"/>
          <w:szCs w:val="30"/>
        </w:rPr>
        <w:t>式进行重点监管，</w:t>
      </w:r>
      <w:r>
        <w:rPr>
          <w:sz w:val="30"/>
          <w:szCs w:val="30"/>
        </w:rPr>
        <w:t xml:space="preserve">  </w:t>
      </w:r>
      <w:r>
        <w:rPr>
          <w:spacing w:val="16"/>
          <w:sz w:val="30"/>
          <w:szCs w:val="30"/>
        </w:rPr>
        <w:t>切实营造公平公正、廉洁自律、风清气正的职称评审氛围。</w:t>
      </w:r>
    </w:p>
    <w:p w14:paraId="43B5F84A">
      <w:pPr>
        <w:pStyle w:val="2"/>
        <w:spacing w:before="240" w:line="320" w:lineRule="auto"/>
        <w:ind w:right="110" w:firstLine="649"/>
        <w:rPr>
          <w:sz w:val="30"/>
          <w:szCs w:val="30"/>
        </w:rPr>
      </w:pPr>
      <w:r>
        <w:rPr>
          <w:spacing w:val="16"/>
          <w:sz w:val="30"/>
          <w:szCs w:val="30"/>
        </w:rPr>
        <w:t>十、继续完善“山西省专业技术人才综合服务平台”功能，</w:t>
      </w:r>
      <w:r>
        <w:rPr>
          <w:spacing w:val="3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持续推进职称评审信息化建设，在开展试点的基础上，</w:t>
      </w:r>
      <w:r>
        <w:rPr>
          <w:spacing w:val="18"/>
          <w:sz w:val="30"/>
          <w:szCs w:val="30"/>
        </w:rPr>
        <w:t>进一步扩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大使用范围，逐步健全规范全省统一的职称评</w:t>
      </w:r>
      <w:r>
        <w:rPr>
          <w:spacing w:val="16"/>
          <w:sz w:val="30"/>
          <w:szCs w:val="30"/>
        </w:rPr>
        <w:t>审信息服务体系。</w:t>
      </w:r>
    </w:p>
    <w:p w14:paraId="22868990">
      <w:pPr>
        <w:pStyle w:val="2"/>
        <w:spacing w:before="242" w:line="332" w:lineRule="auto"/>
        <w:ind w:right="89" w:firstLine="649"/>
        <w:rPr>
          <w:sz w:val="30"/>
          <w:szCs w:val="30"/>
        </w:rPr>
      </w:pPr>
      <w:r>
        <w:rPr>
          <w:spacing w:val="16"/>
          <w:sz w:val="30"/>
          <w:szCs w:val="30"/>
        </w:rPr>
        <w:t>十</w:t>
      </w:r>
      <w:r>
        <w:rPr>
          <w:spacing w:val="-66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一、各级人力资源和社会保障部门、各级评审委员会、各</w:t>
      </w:r>
      <w:r>
        <w:rPr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有关单位要加大职称政策宣传解读力度，积极做好答疑解惑，及</w:t>
      </w:r>
      <w:r>
        <w:rPr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时回应社会关切，扩大职称政策的宣传面，提高职称政策</w:t>
      </w:r>
      <w:r>
        <w:rPr>
          <w:spacing w:val="18"/>
          <w:sz w:val="30"/>
          <w:szCs w:val="30"/>
        </w:rPr>
        <w:t>的知晓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度和执行力。</w:t>
      </w:r>
    </w:p>
    <w:p w14:paraId="66C7D167">
      <w:pPr>
        <w:spacing w:line="332" w:lineRule="auto"/>
        <w:rPr>
          <w:sz w:val="30"/>
          <w:szCs w:val="30"/>
        </w:rPr>
        <w:sectPr>
          <w:footerReference r:id="rId8" w:type="default"/>
          <w:pgSz w:w="11910" w:h="16840"/>
          <w:pgMar w:top="1431" w:right="1389" w:bottom="1567" w:left="1480" w:header="0" w:footer="1178" w:gutter="0"/>
          <w:cols w:space="720" w:num="1"/>
        </w:sectPr>
      </w:pPr>
    </w:p>
    <w:p w14:paraId="351C7CB2">
      <w:pPr>
        <w:spacing w:line="432" w:lineRule="auto"/>
        <w:rPr>
          <w:rFonts w:ascii="Arial"/>
          <w:sz w:val="21"/>
        </w:rPr>
      </w:pPr>
    </w:p>
    <w:p w14:paraId="4C585BA8">
      <w:pPr>
        <w:pStyle w:val="2"/>
        <w:spacing w:before="101" w:line="357" w:lineRule="auto"/>
        <w:ind w:firstLine="659"/>
        <w:jc w:val="both"/>
        <w:rPr>
          <w:sz w:val="31"/>
          <w:szCs w:val="31"/>
        </w:rPr>
      </w:pPr>
      <w:r>
        <w:rPr>
          <w:spacing w:val="20"/>
          <w:sz w:val="31"/>
          <w:szCs w:val="31"/>
        </w:rPr>
        <w:t>十二、各市、各部门(单位)要切实加强领导，精心组织实</w:t>
      </w:r>
      <w:r>
        <w:rPr>
          <w:spacing w:val="7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施，主动接受纪检监察部门和社会各界监督，严格在时间节点前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完成各项任务，确保今年职称评审工作顺利完成。</w:t>
      </w:r>
    </w:p>
    <w:p w14:paraId="548CF1A4">
      <w:pPr>
        <w:spacing w:line="284" w:lineRule="auto"/>
        <w:rPr>
          <w:rFonts w:ascii="Arial"/>
          <w:sz w:val="21"/>
        </w:rPr>
      </w:pPr>
    </w:p>
    <w:p w14:paraId="2029B805">
      <w:pPr>
        <w:spacing w:line="284" w:lineRule="auto"/>
        <w:rPr>
          <w:rFonts w:ascii="Arial"/>
          <w:sz w:val="21"/>
        </w:rPr>
      </w:pPr>
    </w:p>
    <w:p w14:paraId="6D977D14">
      <w:pPr>
        <w:spacing w:line="284" w:lineRule="auto"/>
        <w:rPr>
          <w:rFonts w:ascii="Arial"/>
          <w:sz w:val="21"/>
        </w:rPr>
      </w:pPr>
    </w:p>
    <w:p w14:paraId="58E695A5">
      <w:pPr>
        <w:spacing w:line="285" w:lineRule="auto"/>
        <w:rPr>
          <w:rFonts w:ascii="Arial"/>
          <w:sz w:val="21"/>
        </w:rPr>
      </w:pPr>
    </w:p>
    <w:p w14:paraId="2453FCFC">
      <w:pPr>
        <w:spacing w:line="285" w:lineRule="auto"/>
        <w:rPr>
          <w:rFonts w:ascii="Arial"/>
          <w:sz w:val="21"/>
        </w:rPr>
      </w:pPr>
    </w:p>
    <w:p w14:paraId="5B1EBC6E">
      <w:pPr>
        <w:pStyle w:val="2"/>
        <w:spacing w:before="101" w:line="221" w:lineRule="auto"/>
        <w:ind w:left="4329"/>
        <w:rPr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3270250</wp:posOffset>
            </wp:positionH>
            <wp:positionV relativeFrom="paragraph">
              <wp:posOffset>-645160</wp:posOffset>
            </wp:positionV>
            <wp:extent cx="1555750" cy="15430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5678" cy="1543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  <w:sz w:val="31"/>
          <w:szCs w:val="31"/>
        </w:rPr>
        <w:t>山西省人力资源和社会保障厅</w:t>
      </w:r>
    </w:p>
    <w:p w14:paraId="598F087C">
      <w:pPr>
        <w:pStyle w:val="2"/>
        <w:spacing w:before="320" w:line="222" w:lineRule="auto"/>
        <w:ind w:left="5279"/>
        <w:rPr>
          <w:sz w:val="27"/>
          <w:szCs w:val="27"/>
        </w:rPr>
      </w:pPr>
      <w:r>
        <w:rPr>
          <w:spacing w:val="-16"/>
          <w:sz w:val="27"/>
          <w:szCs w:val="27"/>
        </w:rPr>
        <w:t>2</w:t>
      </w:r>
      <w:r>
        <w:rPr>
          <w:spacing w:val="-33"/>
          <w:sz w:val="27"/>
          <w:szCs w:val="27"/>
        </w:rPr>
        <w:t xml:space="preserve"> </w:t>
      </w:r>
      <w:r>
        <w:rPr>
          <w:spacing w:val="-16"/>
          <w:sz w:val="27"/>
          <w:szCs w:val="27"/>
        </w:rPr>
        <w:t>0</w:t>
      </w:r>
      <w:r>
        <w:rPr>
          <w:spacing w:val="-35"/>
          <w:sz w:val="27"/>
          <w:szCs w:val="27"/>
        </w:rPr>
        <w:t xml:space="preserve"> </w:t>
      </w:r>
      <w:r>
        <w:rPr>
          <w:spacing w:val="-16"/>
          <w:sz w:val="27"/>
          <w:szCs w:val="27"/>
        </w:rPr>
        <w:t>2</w:t>
      </w:r>
      <w:r>
        <w:rPr>
          <w:spacing w:val="-34"/>
          <w:sz w:val="27"/>
          <w:szCs w:val="27"/>
        </w:rPr>
        <w:t xml:space="preserve"> </w:t>
      </w:r>
      <w:r>
        <w:rPr>
          <w:spacing w:val="-16"/>
          <w:sz w:val="27"/>
          <w:szCs w:val="27"/>
        </w:rPr>
        <w:t>5</w:t>
      </w:r>
      <w:r>
        <w:rPr>
          <w:spacing w:val="-24"/>
          <w:sz w:val="27"/>
          <w:szCs w:val="27"/>
        </w:rPr>
        <w:t xml:space="preserve"> </w:t>
      </w:r>
      <w:r>
        <w:rPr>
          <w:spacing w:val="-16"/>
          <w:sz w:val="27"/>
          <w:szCs w:val="27"/>
        </w:rPr>
        <w:t>年</w:t>
      </w:r>
      <w:r>
        <w:rPr>
          <w:spacing w:val="-33"/>
          <w:sz w:val="27"/>
          <w:szCs w:val="27"/>
        </w:rPr>
        <w:t xml:space="preserve"> </w:t>
      </w:r>
      <w:r>
        <w:rPr>
          <w:spacing w:val="-16"/>
          <w:sz w:val="27"/>
          <w:szCs w:val="27"/>
        </w:rPr>
        <w:t>7 月</w:t>
      </w:r>
      <w:r>
        <w:rPr>
          <w:spacing w:val="-32"/>
          <w:sz w:val="27"/>
          <w:szCs w:val="27"/>
        </w:rPr>
        <w:t xml:space="preserve"> </w:t>
      </w:r>
      <w:r>
        <w:rPr>
          <w:spacing w:val="-16"/>
          <w:sz w:val="27"/>
          <w:szCs w:val="27"/>
        </w:rPr>
        <w:t>7</w:t>
      </w:r>
      <w:r>
        <w:rPr>
          <w:spacing w:val="27"/>
          <w:sz w:val="27"/>
          <w:szCs w:val="27"/>
        </w:rPr>
        <w:t xml:space="preserve"> </w:t>
      </w:r>
      <w:r>
        <w:rPr>
          <w:spacing w:val="-16"/>
          <w:sz w:val="27"/>
          <w:szCs w:val="27"/>
        </w:rPr>
        <w:t>日</w:t>
      </w:r>
    </w:p>
    <w:p w14:paraId="0B028DEA">
      <w:pPr>
        <w:spacing w:line="298" w:lineRule="auto"/>
        <w:rPr>
          <w:rFonts w:ascii="Arial"/>
          <w:sz w:val="21"/>
        </w:rPr>
      </w:pPr>
    </w:p>
    <w:p w14:paraId="640BB67E">
      <w:pPr>
        <w:spacing w:line="299" w:lineRule="auto"/>
        <w:rPr>
          <w:rFonts w:ascii="Arial"/>
          <w:sz w:val="21"/>
        </w:rPr>
      </w:pPr>
    </w:p>
    <w:p w14:paraId="57726E47">
      <w:pPr>
        <w:pStyle w:val="2"/>
        <w:spacing w:before="101" w:line="222" w:lineRule="auto"/>
        <w:ind w:left="784"/>
        <w:rPr>
          <w:sz w:val="31"/>
          <w:szCs w:val="31"/>
        </w:rPr>
        <w:sectPr>
          <w:footerReference r:id="rId9" w:type="default"/>
          <w:pgSz w:w="11910" w:h="16840"/>
          <w:pgMar w:top="1431" w:right="1491" w:bottom="1543" w:left="1480" w:header="0" w:footer="1193" w:gutter="0"/>
          <w:cols w:space="720" w:num="1"/>
        </w:sectPr>
      </w:pPr>
      <w:r>
        <w:rPr>
          <w:b/>
          <w:bCs/>
          <w:spacing w:val="15"/>
          <w:sz w:val="31"/>
          <w:szCs w:val="31"/>
        </w:rPr>
        <w:t>(此件主动公开)</w:t>
      </w:r>
    </w:p>
    <w:p w14:paraId="629AAE04">
      <w:pPr>
        <w:spacing w:before="107" w:line="219" w:lineRule="auto"/>
        <w:jc w:val="both"/>
        <w:rPr>
          <w:rFonts w:ascii="宋体" w:hAnsi="宋体" w:eastAsia="宋体" w:cs="宋体"/>
          <w:sz w:val="33"/>
          <w:szCs w:val="33"/>
        </w:rPr>
      </w:pPr>
    </w:p>
    <w:sectPr>
      <w:footerReference r:id="rId10" w:type="default"/>
      <w:pgSz w:w="11910" w:h="16840"/>
      <w:pgMar w:top="1431" w:right="1405" w:bottom="400" w:left="15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4FBA3">
    <w:pPr>
      <w:spacing w:before="1" w:line="233" w:lineRule="auto"/>
      <w:ind w:left="17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F72D2">
    <w:pPr>
      <w:spacing w:line="232" w:lineRule="auto"/>
      <w:ind w:left="800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3304E">
    <w:pPr>
      <w:spacing w:line="232" w:lineRule="auto"/>
      <w:ind w:left="27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8FD6B">
    <w:pPr>
      <w:spacing w:line="233" w:lineRule="auto"/>
      <w:ind w:left="800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1"/>
        <w:w w:val="98"/>
        <w:sz w:val="30"/>
        <w:szCs w:val="30"/>
      </w:rPr>
      <w:t>—7—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A3765">
    <w:pPr>
      <w:spacing w:before="1" w:line="232" w:lineRule="auto"/>
      <w:ind w:left="28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b/>
        <w:bCs/>
        <w:spacing w:val="-13"/>
        <w:sz w:val="27"/>
        <w:szCs w:val="27"/>
      </w:rPr>
      <w:t>—8—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0A93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896486"/>
    <w:rsid w:val="1F3C63CC"/>
    <w:rsid w:val="39EA443D"/>
    <w:rsid w:val="4C850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2276</Words>
  <Characters>2301</Characters>
  <TotalTime>4</TotalTime>
  <ScaleCrop>false</ScaleCrop>
  <LinksUpToDate>false</LinksUpToDate>
  <CharactersWithSpaces>2385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2025-07-24T11:46:00Z</dcterms:created>
  <dc:creator>Administrator</dc:creator>
  <cp:lastModifiedBy>李小军</cp:lastModifiedBy>
  <dcterms:modified xsi:type="dcterms:W3CDTF">2025-07-24T09:52:38Z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2025-07-24T11:46:08Z</vt:filetime>
  </property>
  <property fmtid="{D5CDD505-2E9C-101B-9397-08002B2CF9AE}" pid="4" name="UsrData">
    <vt:lpwstr>6881ac7c12ad33001fcef2a0wl</vt:lpwstr>
  </property>
  <property fmtid="{D5CDD505-2E9C-101B-9397-08002B2CF9AE}" pid="5" name="KSOTemplateDocerSaveRecord">
    <vt:lpwstr>eyJoZGlkIjoiODk1MjE5OWE5NjQxOGUxZmViZmJiYWRhMzg3NWFhZDgiLCJ1c2VySWQiOiI2MjY2NDg0ODYifQ==</vt:lpwstr>
  </property>
  <property fmtid="{D5CDD505-2E9C-101B-9397-08002B2CF9AE}" pid="6" name="KSOProductBuildVer">
    <vt:lpwstr>2052-12.1.0.21915</vt:lpwstr>
  </property>
  <property fmtid="{D5CDD505-2E9C-101B-9397-08002B2CF9AE}" pid="7" name="ICV">
    <vt:lpwstr>0E692A5955C145CCBFE531414F1BAED3_12</vt:lpwstr>
  </property>
</Properties>
</file>