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FB57EF">
      <w:pPr>
        <w:spacing w:line="56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</w:p>
    <w:p w14:paraId="0F6955B4">
      <w:pPr>
        <w:rPr>
          <w:rFonts w:ascii="Times New Roman" w:hAnsi="Times New Roman" w:eastAsia="方正小标宋简体" w:cs="Times New Roman"/>
        </w:rPr>
      </w:pPr>
    </w:p>
    <w:p w14:paraId="570980C1">
      <w:pPr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bookmarkStart w:id="0" w:name="OLE_LINK1"/>
      <w:r>
        <w:rPr>
          <w:rFonts w:ascii="Times New Roman" w:hAnsi="Times New Roman" w:eastAsia="方正小标宋简体" w:cs="Times New Roman"/>
          <w:sz w:val="36"/>
          <w:szCs w:val="36"/>
        </w:rPr>
        <w:t>全国独角兽企业大赛</w:t>
      </w:r>
      <w:bookmarkEnd w:id="0"/>
      <w:r>
        <w:rPr>
          <w:rFonts w:ascii="Times New Roman" w:hAnsi="Times New Roman" w:eastAsia="方正小标宋简体" w:cs="Times New Roman"/>
          <w:sz w:val="36"/>
          <w:szCs w:val="36"/>
        </w:rPr>
        <w:t>方向、领域和赛道</w:t>
      </w:r>
    </w:p>
    <w:p w14:paraId="229D45F4">
      <w:pPr>
        <w:jc w:val="center"/>
        <w:rPr>
          <w:rFonts w:ascii="Times New Roman" w:hAnsi="Times New Roman" w:eastAsia="方正小标宋简体" w:cs="Times New Roman"/>
          <w:sz w:val="36"/>
          <w:szCs w:val="36"/>
        </w:rPr>
      </w:pPr>
    </w:p>
    <w:p w14:paraId="06917351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一、新兴产业培育壮大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10894"/>
      </w:tblGrid>
      <w:tr w14:paraId="425F9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15019D74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领域</w:t>
            </w:r>
          </w:p>
        </w:tc>
        <w:tc>
          <w:tcPr>
            <w:tcW w:w="10894" w:type="dxa"/>
            <w:vAlign w:val="center"/>
          </w:tcPr>
          <w:p w14:paraId="7A02395D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赛道</w:t>
            </w:r>
          </w:p>
        </w:tc>
      </w:tr>
      <w:tr w14:paraId="35B3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682CE7F8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新一代信息技术（I）</w:t>
            </w:r>
          </w:p>
        </w:tc>
        <w:tc>
          <w:tcPr>
            <w:tcW w:w="10894" w:type="dxa"/>
            <w:vAlign w:val="center"/>
          </w:tcPr>
          <w:p w14:paraId="1DCBFCF2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高端电子专用设备、新型电子元器件、高性能集成电路、智能终端、虚拟现实、数字孪生、超高清视听、基础软件、工业软件、应用软件、5G、大数据、云计算、物联网、大模型和生成式人工智能、工业互联网、区块链、网络空间安全</w:t>
            </w:r>
          </w:p>
        </w:tc>
      </w:tr>
      <w:tr w14:paraId="15D1D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4719F314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高端装备（II）</w:t>
            </w:r>
          </w:p>
        </w:tc>
        <w:tc>
          <w:tcPr>
            <w:tcW w:w="10894" w:type="dxa"/>
            <w:vAlign w:val="center"/>
          </w:tcPr>
          <w:p w14:paraId="498F342F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工业机器人、高端数控装备、农机装备、生物医疗装备、智能检测装备、增材制造装备、智能工程机械、新型纺织机械</w:t>
            </w:r>
          </w:p>
        </w:tc>
      </w:tr>
      <w:tr w14:paraId="4D59D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2EC48BC6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新能源汽车（III）</w:t>
            </w:r>
          </w:p>
        </w:tc>
        <w:tc>
          <w:tcPr>
            <w:tcW w:w="10894" w:type="dxa"/>
            <w:vAlign w:val="center"/>
          </w:tcPr>
          <w:p w14:paraId="4532EA78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整车研发生产、新型动力系统、高效驱动电机、高安全高性能动力电池、智能驾驶、智能网联平台和系统、网络与数据安全、充换电基础设施</w:t>
            </w:r>
          </w:p>
        </w:tc>
      </w:tr>
      <w:tr w14:paraId="027F2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0AD88CEE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商业航天（IV）</w:t>
            </w:r>
          </w:p>
        </w:tc>
        <w:tc>
          <w:tcPr>
            <w:tcW w:w="10894" w:type="dxa"/>
            <w:vAlign w:val="center"/>
          </w:tcPr>
          <w:p w14:paraId="30A34447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商业载人航天、火箭制造、卫星制造、核心材料（燃料）与组件、火箭发射、卫星发射、地面设备、卫星运营、卫星互联网、卫星应用</w:t>
            </w:r>
          </w:p>
        </w:tc>
      </w:tr>
      <w:tr w14:paraId="4A9A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63C84F39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低空经济（V）</w:t>
            </w:r>
          </w:p>
        </w:tc>
        <w:tc>
          <w:tcPr>
            <w:tcW w:w="10894" w:type="dxa"/>
            <w:vAlign w:val="center"/>
          </w:tcPr>
          <w:p w14:paraId="16941946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商用飞机、水陆两栖飞机、直升机、无人机、电动垂直起降飞行器、发动机、核心零部件、临空无人系统、机载系统、地面系统设备、低空应用</w:t>
            </w:r>
          </w:p>
        </w:tc>
      </w:tr>
      <w:tr w14:paraId="092C6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1EB76195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深海科技（VI）</w:t>
            </w:r>
          </w:p>
        </w:tc>
        <w:tc>
          <w:tcPr>
            <w:tcW w:w="10894" w:type="dxa"/>
            <w:vAlign w:val="center"/>
          </w:tcPr>
          <w:p w14:paraId="7C27426E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深海探测、深海通信与导航、深海资源开发、深海作业、深海搜救、深海智能平台、深海工程材料、深海基础设施</w:t>
            </w:r>
          </w:p>
        </w:tc>
      </w:tr>
      <w:tr w14:paraId="5FEBB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06FADAD3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新能源（VII）</w:t>
            </w:r>
          </w:p>
        </w:tc>
        <w:tc>
          <w:tcPr>
            <w:tcW w:w="10894" w:type="dxa"/>
            <w:vAlign w:val="center"/>
          </w:tcPr>
          <w:p w14:paraId="60A9749E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太阳能、风能、核裂变能、地热能、水能、新型储能、高性能电池、能源电子</w:t>
            </w:r>
          </w:p>
        </w:tc>
      </w:tr>
      <w:tr w14:paraId="0F744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0" w:type="dxa"/>
            <w:vAlign w:val="center"/>
          </w:tcPr>
          <w:p w14:paraId="7029086A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新材料（VIII）</w:t>
            </w:r>
          </w:p>
        </w:tc>
        <w:tc>
          <w:tcPr>
            <w:tcW w:w="10894" w:type="dxa"/>
            <w:vAlign w:val="center"/>
          </w:tcPr>
          <w:p w14:paraId="7134BE45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先进石化化工材料、先进钢铁材料、先进有色金属及稀土材料、先进无机非金属材料、电子高纯材料、高性能纤维及复合材料、生物基和生物医用材料</w:t>
            </w:r>
          </w:p>
        </w:tc>
      </w:tr>
      <w:tr w14:paraId="31041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20" w:type="dxa"/>
            <w:vAlign w:val="center"/>
          </w:tcPr>
          <w:p w14:paraId="7C1449DD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绿色环保（IX）</w:t>
            </w:r>
          </w:p>
        </w:tc>
        <w:tc>
          <w:tcPr>
            <w:tcW w:w="10894" w:type="dxa"/>
            <w:vAlign w:val="center"/>
          </w:tcPr>
          <w:p w14:paraId="3162A942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碳达峰碳中和、绿色制造、节能、节水、环境保护、废旧资源综合利用</w:t>
            </w:r>
          </w:p>
        </w:tc>
      </w:tr>
    </w:tbl>
    <w:p w14:paraId="056B0C9A">
      <w:pPr>
        <w:rPr>
          <w:rFonts w:ascii="Times New Roman" w:hAnsi="Times New Roman" w:eastAsia="黑体" w:cs="Times New Roman"/>
          <w:b/>
          <w:bCs/>
          <w:sz w:val="32"/>
          <w:szCs w:val="32"/>
        </w:rPr>
      </w:pPr>
    </w:p>
    <w:p w14:paraId="76CF34A7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二、未来产业前瞻布局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11372"/>
      </w:tblGrid>
      <w:tr w14:paraId="34795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 w14:paraId="0623DA2A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领域</w:t>
            </w:r>
          </w:p>
        </w:tc>
        <w:tc>
          <w:tcPr>
            <w:tcW w:w="11372" w:type="dxa"/>
          </w:tcPr>
          <w:p w14:paraId="28753B86">
            <w:pPr>
              <w:spacing w:line="360" w:lineRule="auto"/>
              <w:jc w:val="center"/>
              <w:rPr>
                <w:rFonts w:ascii="Times New Roman" w:hAnsi="Times New Roman" w:eastAsia="黑体" w:cs="Times New Roman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sz w:val="28"/>
                <w:szCs w:val="28"/>
              </w:rPr>
              <w:t>赛道</w:t>
            </w:r>
          </w:p>
        </w:tc>
      </w:tr>
      <w:tr w14:paraId="1E95E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2EB22CBD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未来制造（I）</w:t>
            </w:r>
          </w:p>
        </w:tc>
        <w:tc>
          <w:tcPr>
            <w:tcW w:w="11372" w:type="dxa"/>
          </w:tcPr>
          <w:p w14:paraId="046B2C79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人形机器人、纳米制造、原子级制造、生物制造、激光制造、柔性制造、共享制造</w:t>
            </w:r>
          </w:p>
        </w:tc>
      </w:tr>
      <w:tr w14:paraId="08687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76F1C593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未来信息（II）</w:t>
            </w:r>
          </w:p>
        </w:tc>
        <w:tc>
          <w:tcPr>
            <w:tcW w:w="11372" w:type="dxa"/>
          </w:tcPr>
          <w:p w14:paraId="3435A0D9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未来显示、具身智能、群体智能、类脑智能、通用人工智能、6G、未来网络、元宇宙、量子信息、信息光子</w:t>
            </w:r>
          </w:p>
        </w:tc>
      </w:tr>
      <w:tr w14:paraId="15C51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2A7D2D6B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未来材料（III）</w:t>
            </w:r>
          </w:p>
        </w:tc>
        <w:tc>
          <w:tcPr>
            <w:tcW w:w="11372" w:type="dxa"/>
          </w:tcPr>
          <w:p w14:paraId="1F442ED3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新一代半导体材料、纳米材料、石墨烯材料、超导材料、智能仿生材料、液态金属材料</w:t>
            </w:r>
          </w:p>
        </w:tc>
      </w:tr>
      <w:tr w14:paraId="08BE9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45F7A794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未来能源（IV）</w:t>
            </w:r>
          </w:p>
        </w:tc>
        <w:tc>
          <w:tcPr>
            <w:tcW w:w="11372" w:type="dxa"/>
          </w:tcPr>
          <w:p w14:paraId="48E4B347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核聚变能、氢能、生物质能、海洋能、未来能源装备与设施</w:t>
            </w:r>
          </w:p>
        </w:tc>
      </w:tr>
      <w:tr w14:paraId="0B6E0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125FF098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未来空间（V）</w:t>
            </w:r>
          </w:p>
        </w:tc>
        <w:tc>
          <w:tcPr>
            <w:tcW w:w="11372" w:type="dxa"/>
          </w:tcPr>
          <w:p w14:paraId="059DA275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空天信息、深空探测、深空采矿、深地资源探采、极地探测与作业、城市地下空间开发利用</w:t>
            </w:r>
          </w:p>
        </w:tc>
      </w:tr>
      <w:tr w14:paraId="2BDDB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18317CA9"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8"/>
                <w:szCs w:val="28"/>
              </w:rPr>
              <w:t>未来健康（VI）</w:t>
            </w:r>
          </w:p>
        </w:tc>
        <w:tc>
          <w:tcPr>
            <w:tcW w:w="11372" w:type="dxa"/>
          </w:tcPr>
          <w:p w14:paraId="3D882AC6">
            <w:pPr>
              <w:spacing w:line="360" w:lineRule="auto"/>
              <w:ind w:firstLine="560" w:firstLineChars="200"/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28"/>
                <w:szCs w:val="28"/>
              </w:rPr>
              <w:t>脑科学与脑机接口、基因技术、细胞治疗与再生医学、低温生物医学、合成生物、生物育种、智慧医疗健康</w:t>
            </w:r>
          </w:p>
        </w:tc>
      </w:tr>
    </w:tbl>
    <w:p w14:paraId="74B8F415">
      <w:pPr>
        <w:rPr>
          <w:rFonts w:ascii="Times New Roman" w:hAnsi="Times New Roman" w:eastAsia="楷体" w:cs="Times New Roman"/>
          <w:sz w:val="32"/>
          <w:szCs w:val="32"/>
        </w:rPr>
      </w:pPr>
    </w:p>
    <w:p w14:paraId="7678C2A3">
      <w:pPr>
        <w:rPr>
          <w:rFonts w:ascii="Times New Roman" w:hAnsi="Times New Roman" w:eastAsia="楷体" w:cs="Times New Roman"/>
          <w:sz w:val="32"/>
          <w:szCs w:val="32"/>
        </w:rPr>
      </w:pPr>
    </w:p>
    <w:p w14:paraId="11CFCE8B">
      <w:pP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</w:p>
    <w:p w14:paraId="6C33708D">
      <w:pP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</w:p>
    <w:p w14:paraId="0C71CB0F">
      <w:pP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</w:p>
    <w:p w14:paraId="0487BF6A">
      <w:pP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</w:p>
    <w:p w14:paraId="7D2BDE86">
      <w:pPr>
        <w:rPr>
          <w:rFonts w:ascii="Times New Roman" w:hAnsi="Times New Roman" w:cs="Times New Roman"/>
          <w:position w:val="-3"/>
          <w:sz w:val="18"/>
        </w:rPr>
      </w:pPr>
      <w:bookmarkStart w:id="1" w:name="_GoBack"/>
      <w:bookmarkEnd w:id="1"/>
    </w:p>
    <w:sectPr>
      <w:footerReference r:id="rId3" w:type="default"/>
      <w:pgSz w:w="16838" w:h="11906" w:orient="landscape"/>
      <w:pgMar w:top="1457" w:right="1440" w:bottom="145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1F17756-D870-4589-8969-99D3ED45D12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51FF433-99B0-4532-A072-14AA8DF8E43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C48476-6203-4F31-8AD2-67EFF4501A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8ADBAE-A8A2-44E5-AF41-432F683A0F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59577F8-913B-422A-AD2E-43857F102B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C24EBC9-A213-4350-9C8B-0FDC2E44EF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1733073-3D51-4191-B9CD-CE7C267A08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391D7B4-77AF-4DD6-BF2E-E95F68A90C2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22CC252-3897-4349-A3F0-E7AAF7A19BB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1D9B00F3-3191-4C39-A8CF-C30E525F16F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2E6E11D-CDF0-46D9-8499-DA6118B17C98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2" w:fontKey="{7FDEE619-AB66-4578-94DC-8AEA9237AB28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386FE">
    <w:pPr>
      <w:pStyle w:val="3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A9B7B5">
                          <w:pPr>
                            <w:pStyle w:val="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A9B7B5">
                    <w:pPr>
                      <w:pStyle w:val="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839A0"/>
    <w:rsid w:val="000A07A6"/>
    <w:rsid w:val="002C7724"/>
    <w:rsid w:val="008D1517"/>
    <w:rsid w:val="009F6DE9"/>
    <w:rsid w:val="176026E9"/>
    <w:rsid w:val="348839A0"/>
    <w:rsid w:val="453C242F"/>
    <w:rsid w:val="50C9637E"/>
    <w:rsid w:val="61B4433F"/>
    <w:rsid w:val="636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bidi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3094</Words>
  <Characters>3221</Characters>
  <Lines>217</Lines>
  <Paragraphs>262</Paragraphs>
  <TotalTime>27</TotalTime>
  <ScaleCrop>false</ScaleCrop>
  <LinksUpToDate>false</LinksUpToDate>
  <CharactersWithSpaces>3286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2025-08-18T04:06:00Z</dcterms:created>
  <dc:creator>✨Cindy</dc:creator>
  <cp:lastModifiedBy>刘兰</cp:lastModifiedBy>
  <dcterms:modified xsi:type="dcterms:W3CDTF">2025-09-05T03:23:25Z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B1CABBFA151448E2807F315E8C66DE0A_13</vt:lpwstr>
  </property>
  <property fmtid="{D5CDD505-2E9C-101B-9397-08002B2CF9AE}" pid="4" name="KSOTemplateDocerSaveRecord">
    <vt:lpwstr>eyJoZGlkIjoiMWE4M2RmYzU2NDI2NzE0MjExM2M3ODliZTQxYjY1YWMiLCJ1c2VySWQiOiIxMzY0ODQ3MTc4In0=</vt:lpwstr>
  </property>
</Properties>
</file>