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49BBC">
      <w:pPr>
        <w:pStyle w:val="2"/>
        <w:adjustRightInd w:val="0"/>
        <w:snapToGrid w:val="0"/>
        <w:spacing w:line="560" w:lineRule="exact"/>
        <w:ind w:left="0" w:leftChars="0" w:firstLine="0" w:firstLineChars="0"/>
        <w:jc w:val="center"/>
        <w:rPr>
          <w:rFonts w:hint="eastAsia" w:ascii="Times New Roman" w:hAnsi="Times New Roman" w:eastAsia="方正小标宋简体" w:cs="Times New Roman"/>
          <w:b w:val="0"/>
          <w:bCs w:val="0"/>
          <w:color w:val="auto"/>
          <w:sz w:val="44"/>
          <w:szCs w:val="44"/>
          <w:lang w:val="en-US" w:eastAsia="zh-CN"/>
        </w:rPr>
      </w:pPr>
      <w:r>
        <w:rPr>
          <w:rFonts w:hint="eastAsia" w:ascii="Times New Roman" w:hAnsi="Times New Roman" w:eastAsia="方正小标宋简体" w:cs="Times New Roman"/>
          <w:b w:val="0"/>
          <w:bCs w:val="0"/>
          <w:color w:val="auto"/>
          <w:sz w:val="44"/>
          <w:szCs w:val="44"/>
          <w:lang w:val="en-US" w:eastAsia="zh-CN"/>
        </w:rPr>
        <w:t>山西省制造业振兴升级基金</w:t>
      </w:r>
    </w:p>
    <w:p w14:paraId="0C5FD22D">
      <w:pPr>
        <w:pStyle w:val="2"/>
        <w:adjustRightInd w:val="0"/>
        <w:snapToGrid w:val="0"/>
        <w:spacing w:line="560" w:lineRule="exact"/>
        <w:ind w:left="0" w:leftChars="0" w:firstLine="0" w:firstLineChars="0"/>
        <w:jc w:val="center"/>
        <w:rPr>
          <w:rFonts w:hint="eastAsia" w:ascii="Times New Roman" w:hAnsi="Times New Roman" w:eastAsia="方正小标宋简体" w:cs="Times New Roman"/>
          <w:b w:val="0"/>
          <w:bCs w:val="0"/>
          <w:color w:val="auto"/>
          <w:sz w:val="44"/>
          <w:szCs w:val="44"/>
          <w:lang w:val="en-US"/>
        </w:rPr>
      </w:pPr>
      <w:r>
        <w:rPr>
          <w:rFonts w:hint="eastAsia" w:ascii="Times New Roman" w:hAnsi="Times New Roman" w:eastAsia="方正小标宋简体" w:cs="Times New Roman"/>
          <w:b w:val="0"/>
          <w:bCs w:val="0"/>
          <w:color w:val="auto"/>
          <w:sz w:val="44"/>
          <w:szCs w:val="44"/>
          <w:lang w:val="en-US"/>
        </w:rPr>
        <w:t>管理机构公开遴选申报指南</w:t>
      </w:r>
    </w:p>
    <w:p w14:paraId="530EC21E">
      <w:pPr>
        <w:autoSpaceDE/>
        <w:autoSpaceDN/>
        <w:adjustRightInd w:val="0"/>
        <w:snapToGrid w:val="0"/>
        <w:spacing w:line="560" w:lineRule="exact"/>
        <w:ind w:firstLine="1285" w:firstLineChars="400"/>
        <w:rPr>
          <w:rFonts w:hint="eastAsia" w:ascii="Times New Roman" w:hAnsi="Times New Roman" w:eastAsia="黑体" w:cs="Times New Roman"/>
          <w:b/>
          <w:bCs/>
          <w:color w:val="auto"/>
          <w:kern w:val="2"/>
          <w:szCs w:val="32"/>
          <w:lang w:val="en-US" w:bidi="ar-SA"/>
        </w:rPr>
      </w:pPr>
    </w:p>
    <w:p w14:paraId="5D988B5B">
      <w:pPr>
        <w:pStyle w:val="2"/>
        <w:pageBreakBefore w:val="0"/>
        <w:widowControl w:val="0"/>
        <w:kinsoku/>
        <w:wordWrap/>
        <w:overflowPunct/>
        <w:topLinePunct w:val="0"/>
        <w:bidi w:val="0"/>
        <w:spacing w:line="560" w:lineRule="exact"/>
        <w:jc w:val="left"/>
        <w:textAlignment w:val="auto"/>
        <w:rPr>
          <w:rFonts w:hint="eastAsia" w:ascii="Times New Roman" w:hAnsi="Times New Roman" w:cs="Times New Roman"/>
          <w:color w:val="auto"/>
          <w:lang w:val="en-US"/>
        </w:rPr>
      </w:pPr>
      <w:r>
        <w:rPr>
          <w:rFonts w:hint="eastAsia" w:ascii="Times New Roman" w:hAnsi="Times New Roman" w:cs="Times New Roman"/>
          <w:color w:val="auto"/>
          <w:lang w:val="en-US" w:eastAsia="zh-CN"/>
        </w:rPr>
        <w:t>一、</w:t>
      </w:r>
      <w:r>
        <w:rPr>
          <w:rFonts w:hint="eastAsia" w:ascii="Times New Roman" w:hAnsi="Times New Roman" w:cs="Times New Roman"/>
          <w:color w:val="auto"/>
          <w:lang w:val="en-US"/>
        </w:rPr>
        <w:t>基金要素</w:t>
      </w:r>
    </w:p>
    <w:p w14:paraId="40270FD4">
      <w:pPr>
        <w:pStyle w:val="3"/>
        <w:pageBreakBefore w:val="0"/>
        <w:widowControl w:val="0"/>
        <w:kinsoku/>
        <w:wordWrap/>
        <w:overflowPunct/>
        <w:topLinePunct w:val="0"/>
        <w:bidi w:val="0"/>
        <w:spacing w:line="560" w:lineRule="exact"/>
        <w:textAlignment w:val="auto"/>
        <w:rPr>
          <w:rFonts w:hint="eastAsia" w:ascii="Times New Roman" w:hAnsi="Times New Roman" w:cs="Times New Roman"/>
          <w:color w:val="auto"/>
          <w:lang w:val="en-US"/>
        </w:rPr>
      </w:pPr>
      <w:r>
        <w:rPr>
          <w:rFonts w:hint="eastAsia" w:ascii="Times New Roman" w:hAnsi="Times New Roman" w:cs="Times New Roman"/>
          <w:color w:val="auto"/>
          <w:lang w:val="en-US"/>
        </w:rPr>
        <w:t>（一）基金名称</w:t>
      </w:r>
    </w:p>
    <w:p w14:paraId="023795DC">
      <w:pPr>
        <w:pageBreakBefore w:val="0"/>
        <w:widowControl w:val="0"/>
        <w:kinsoku/>
        <w:wordWrap/>
        <w:overflowPunct/>
        <w:topLinePunct w:val="0"/>
        <w:bidi w:val="0"/>
        <w:spacing w:line="560" w:lineRule="exact"/>
        <w:ind w:firstLine="640"/>
        <w:textAlignment w:val="auto"/>
        <w:rPr>
          <w:rFonts w:hint="eastAsia" w:cs="Times New Roman"/>
          <w:color w:val="auto"/>
          <w:lang w:val="en-US" w:eastAsia="zh-CN"/>
        </w:rPr>
      </w:pPr>
      <w:r>
        <w:rPr>
          <w:rFonts w:hint="eastAsia" w:cs="Times New Roman"/>
          <w:color w:val="auto"/>
          <w:lang w:val="en-US" w:eastAsia="zh-CN"/>
        </w:rPr>
        <w:t>山西省制造业振兴升级基金(拟定名，最终以工商注册为准，以下简称“振兴升级母基金”)</w:t>
      </w:r>
    </w:p>
    <w:p w14:paraId="2251375B">
      <w:pPr>
        <w:pStyle w:val="3"/>
        <w:pageBreakBefore w:val="0"/>
        <w:widowControl w:val="0"/>
        <w:kinsoku/>
        <w:wordWrap/>
        <w:overflowPunct/>
        <w:topLinePunct w:val="0"/>
        <w:bidi w:val="0"/>
        <w:spacing w:line="560" w:lineRule="exact"/>
        <w:textAlignment w:val="auto"/>
        <w:rPr>
          <w:rFonts w:hint="eastAsia" w:ascii="Times New Roman" w:hAnsi="Times New Roman" w:cs="Times New Roman"/>
          <w:color w:val="auto"/>
          <w:lang w:val="en-US"/>
        </w:rPr>
      </w:pPr>
      <w:r>
        <w:rPr>
          <w:rFonts w:hint="eastAsia" w:ascii="Times New Roman" w:hAnsi="Times New Roman" w:cs="Times New Roman"/>
          <w:color w:val="auto"/>
          <w:lang w:val="en-US"/>
        </w:rPr>
        <w:t>（二）组织类型</w:t>
      </w:r>
    </w:p>
    <w:p w14:paraId="3C4DE283">
      <w:pPr>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color w:val="auto"/>
          <w:szCs w:val="32"/>
          <w:lang w:val="en-US" w:eastAsia="zh-CN"/>
        </w:rPr>
      </w:pPr>
      <w:r>
        <w:rPr>
          <w:rFonts w:hint="eastAsia" w:ascii="Times New Roman" w:hAnsi="Times New Roman" w:cs="Times New Roman"/>
          <w:color w:val="auto"/>
          <w:szCs w:val="32"/>
          <w:lang w:val="en-US"/>
        </w:rPr>
        <w:t>有限合伙制</w:t>
      </w:r>
      <w:r>
        <w:rPr>
          <w:rFonts w:hint="eastAsia" w:cs="Times New Roman"/>
          <w:color w:val="auto"/>
          <w:szCs w:val="32"/>
          <w:lang w:val="en-US" w:eastAsia="zh-CN"/>
        </w:rPr>
        <w:t>基金</w:t>
      </w:r>
    </w:p>
    <w:p w14:paraId="126147A1">
      <w:pPr>
        <w:pStyle w:val="3"/>
        <w:pageBreakBefore w:val="0"/>
        <w:widowControl w:val="0"/>
        <w:kinsoku/>
        <w:wordWrap/>
        <w:overflowPunct/>
        <w:topLinePunct w:val="0"/>
        <w:bidi w:val="0"/>
        <w:spacing w:line="560" w:lineRule="exact"/>
        <w:textAlignment w:val="auto"/>
        <w:rPr>
          <w:rFonts w:hint="eastAsia" w:ascii="Times New Roman" w:hAnsi="Times New Roman" w:cs="Times New Roman"/>
          <w:color w:val="auto"/>
          <w:lang w:val="en-US"/>
        </w:rPr>
      </w:pPr>
      <w:r>
        <w:rPr>
          <w:rFonts w:hint="eastAsia" w:ascii="Times New Roman" w:hAnsi="Times New Roman" w:cs="Times New Roman"/>
          <w:color w:val="auto"/>
          <w:lang w:val="en-US"/>
        </w:rPr>
        <w:t>（三）基金规模</w:t>
      </w:r>
    </w:p>
    <w:p w14:paraId="64037642">
      <w:pPr>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cs="Times New Roman"/>
          <w:color w:val="auto"/>
          <w:szCs w:val="32"/>
          <w:lang w:val="en-US"/>
        </w:rPr>
      </w:pPr>
      <w:r>
        <w:rPr>
          <w:rFonts w:hint="eastAsia" w:ascii="Times New Roman" w:hAnsi="Times New Roman" w:cs="Times New Roman"/>
          <w:color w:val="auto"/>
          <w:szCs w:val="32"/>
          <w:lang w:val="en-US"/>
        </w:rPr>
        <w:t>振兴升级母基金规模</w:t>
      </w:r>
      <w:r>
        <w:rPr>
          <w:rFonts w:hint="eastAsia" w:cs="Times New Roman"/>
          <w:color w:val="auto"/>
          <w:szCs w:val="32"/>
          <w:lang w:val="en-US" w:eastAsia="zh-CN"/>
        </w:rPr>
        <w:t>不低于</w:t>
      </w:r>
      <w:r>
        <w:rPr>
          <w:rFonts w:hint="default" w:ascii="Times New Roman" w:hAnsi="Times New Roman" w:eastAsia="仿宋_GB2312" w:cs="Times New Roman"/>
          <w:i w:val="0"/>
          <w:caps w:val="0"/>
          <w:spacing w:val="0"/>
          <w:kern w:val="2"/>
          <w:sz w:val="32"/>
          <w:szCs w:val="32"/>
          <w:shd w:val="clear" w:color="auto" w:fill="auto"/>
          <w:lang w:val="en-US" w:eastAsia="zh-CN" w:bidi="ar"/>
        </w:rPr>
        <w:t>10</w:t>
      </w:r>
      <w:r>
        <w:rPr>
          <w:rFonts w:hint="eastAsia" w:cs="Times New Roman"/>
          <w:i w:val="0"/>
          <w:caps w:val="0"/>
          <w:spacing w:val="0"/>
          <w:kern w:val="2"/>
          <w:sz w:val="32"/>
          <w:szCs w:val="32"/>
          <w:shd w:val="clear" w:color="auto" w:fill="auto"/>
          <w:lang w:val="en-US" w:eastAsia="zh-CN" w:bidi="ar"/>
        </w:rPr>
        <w:t>0.01</w:t>
      </w:r>
      <w:r>
        <w:rPr>
          <w:rFonts w:hint="eastAsia" w:ascii="Times New Roman" w:hAnsi="Times New Roman" w:cs="Times New Roman"/>
          <w:color w:val="auto"/>
          <w:szCs w:val="32"/>
          <w:lang w:val="en-US"/>
        </w:rPr>
        <w:t>亿元，通过母子基金的运作模式，实现母子基金合计规模不低于</w:t>
      </w:r>
      <w:r>
        <w:rPr>
          <w:rFonts w:hint="default" w:ascii="Times New Roman" w:hAnsi="Times New Roman" w:cs="Times New Roman"/>
          <w:color w:val="auto"/>
          <w:szCs w:val="32"/>
          <w:lang w:val="en-US"/>
        </w:rPr>
        <w:t>180</w:t>
      </w:r>
      <w:r>
        <w:rPr>
          <w:rFonts w:hint="eastAsia" w:ascii="Times New Roman" w:hAnsi="Times New Roman" w:cs="Times New Roman"/>
          <w:color w:val="auto"/>
          <w:szCs w:val="32"/>
          <w:lang w:val="en-US"/>
        </w:rPr>
        <w:t>亿元。</w:t>
      </w:r>
    </w:p>
    <w:p w14:paraId="288211F7">
      <w:pPr>
        <w:pStyle w:val="3"/>
        <w:pageBreakBefore w:val="0"/>
        <w:widowControl w:val="0"/>
        <w:kinsoku/>
        <w:wordWrap/>
        <w:overflowPunct/>
        <w:topLinePunct w:val="0"/>
        <w:bidi w:val="0"/>
        <w:spacing w:line="560" w:lineRule="exact"/>
        <w:textAlignment w:val="auto"/>
        <w:rPr>
          <w:rFonts w:hint="eastAsia" w:ascii="Times New Roman" w:hAnsi="Times New Roman" w:cs="Times New Roman"/>
          <w:color w:val="auto"/>
          <w:lang w:val="en-US"/>
        </w:rPr>
      </w:pPr>
      <w:r>
        <w:rPr>
          <w:rFonts w:hint="eastAsia" w:ascii="Times New Roman" w:hAnsi="Times New Roman" w:cs="Times New Roman"/>
          <w:color w:val="auto"/>
          <w:lang w:val="en-US"/>
        </w:rPr>
        <w:t>（四）出资</w:t>
      </w:r>
      <w:r>
        <w:rPr>
          <w:rFonts w:hint="eastAsia" w:cs="Times New Roman"/>
          <w:color w:val="auto"/>
          <w:lang w:val="en-US" w:eastAsia="zh-CN"/>
        </w:rPr>
        <w:t>结构</w:t>
      </w:r>
    </w:p>
    <w:p w14:paraId="0EA985E0">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1"/>
        <w:jc w:val="both"/>
        <w:textAlignment w:val="auto"/>
        <w:rPr>
          <w:rFonts w:hint="default" w:ascii="Times New Roman" w:hAnsi="Times New Roman" w:eastAsia="仿宋_GB2312" w:cs="Times New Roman"/>
          <w:i w:val="0"/>
          <w:caps w:val="0"/>
          <w:spacing w:val="0"/>
          <w:kern w:val="2"/>
          <w:sz w:val="32"/>
          <w:szCs w:val="32"/>
          <w:highlight w:val="none"/>
          <w:shd w:val="clear" w:color="auto" w:fill="auto"/>
          <w:lang w:val="en-US" w:eastAsia="zh-CN" w:bidi="ar"/>
        </w:rPr>
      </w:pPr>
      <w:r>
        <w:rPr>
          <w:rFonts w:hint="eastAsia" w:ascii="Times New Roman" w:hAnsi="Times New Roman" w:cs="Times New Roman"/>
          <w:color w:val="auto"/>
          <w:szCs w:val="32"/>
          <w:lang w:val="en-US"/>
        </w:rPr>
        <w:t>振兴升级母基金</w:t>
      </w:r>
      <w:r>
        <w:rPr>
          <w:rFonts w:hint="default" w:ascii="Times New Roman" w:hAnsi="Times New Roman" w:eastAsia="仿宋_GB2312" w:cs="Times New Roman"/>
          <w:i w:val="0"/>
          <w:caps w:val="0"/>
          <w:spacing w:val="0"/>
          <w:kern w:val="2"/>
          <w:sz w:val="32"/>
          <w:szCs w:val="32"/>
          <w:shd w:val="clear" w:color="auto" w:fill="auto"/>
          <w:lang w:val="en-US" w:eastAsia="zh-CN" w:bidi="ar"/>
        </w:rPr>
        <w:t>由</w:t>
      </w:r>
      <w:r>
        <w:rPr>
          <w:rFonts w:hint="eastAsia" w:ascii="Times New Roman" w:hAnsi="Times New Roman" w:cs="Times New Roman"/>
          <w:i w:val="0"/>
          <w:caps w:val="0"/>
          <w:spacing w:val="0"/>
          <w:kern w:val="2"/>
          <w:sz w:val="32"/>
          <w:szCs w:val="32"/>
          <w:shd w:val="clear" w:color="auto" w:fill="auto"/>
          <w:lang w:val="en-US" w:eastAsia="zh-CN" w:bidi="ar"/>
        </w:rPr>
        <w:t>山西</w:t>
      </w:r>
      <w:r>
        <w:rPr>
          <w:rFonts w:hint="default" w:ascii="Times New Roman" w:hAnsi="Times New Roman" w:eastAsia="仿宋_GB2312" w:cs="Times New Roman"/>
          <w:i w:val="0"/>
          <w:caps w:val="0"/>
          <w:spacing w:val="0"/>
          <w:kern w:val="2"/>
          <w:sz w:val="32"/>
          <w:szCs w:val="32"/>
          <w:shd w:val="clear" w:color="auto" w:fill="auto"/>
          <w:lang w:val="en-US" w:eastAsia="zh-CN" w:bidi="ar"/>
        </w:rPr>
        <w:t>省财政厅注资山西金融投资控股集团</w:t>
      </w:r>
      <w:r>
        <w:rPr>
          <w:rFonts w:hint="default" w:ascii="Times New Roman" w:hAnsi="Times New Roman" w:eastAsia="仿宋_GB2312" w:cs="Times New Roman"/>
          <w:i w:val="0"/>
          <w:caps w:val="0"/>
          <w:spacing w:val="0"/>
          <w:kern w:val="2"/>
          <w:sz w:val="32"/>
          <w:szCs w:val="32"/>
          <w:highlight w:val="none"/>
          <w:shd w:val="clear" w:color="auto" w:fill="auto"/>
          <w:lang w:val="en-US" w:eastAsia="zh-CN" w:bidi="ar"/>
        </w:rPr>
        <w:t>有限公司</w:t>
      </w:r>
      <w:r>
        <w:rPr>
          <w:rFonts w:hint="eastAsia" w:cs="Times New Roman"/>
          <w:i w:val="0"/>
          <w:caps w:val="0"/>
          <w:spacing w:val="0"/>
          <w:kern w:val="2"/>
          <w:sz w:val="32"/>
          <w:szCs w:val="32"/>
          <w:highlight w:val="none"/>
          <w:shd w:val="clear" w:color="auto" w:fill="auto"/>
          <w:lang w:val="en-US" w:eastAsia="zh-CN" w:bidi="ar"/>
        </w:rPr>
        <w:t>（以下简称“山西金控”）</w:t>
      </w:r>
      <w:r>
        <w:rPr>
          <w:rFonts w:hint="default" w:ascii="Times New Roman" w:hAnsi="Times New Roman" w:eastAsia="仿宋_GB2312" w:cs="Times New Roman"/>
          <w:i w:val="0"/>
          <w:caps w:val="0"/>
          <w:spacing w:val="0"/>
          <w:kern w:val="2"/>
          <w:sz w:val="32"/>
          <w:szCs w:val="32"/>
          <w:highlight w:val="none"/>
          <w:shd w:val="clear" w:color="auto" w:fill="auto"/>
          <w:lang w:val="en-US" w:eastAsia="zh-CN" w:bidi="ar"/>
        </w:rPr>
        <w:t>以有限合伙人身份认缴出资50亿元，部分省属企业以有限合伙人身份合计认缴出资50亿元，分5年实缴，每年实缴20%</w:t>
      </w:r>
      <w:r>
        <w:rPr>
          <w:rFonts w:hint="eastAsia" w:cs="Times New Roman"/>
          <w:i w:val="0"/>
          <w:caps w:val="0"/>
          <w:spacing w:val="0"/>
          <w:kern w:val="2"/>
          <w:sz w:val="32"/>
          <w:szCs w:val="32"/>
          <w:highlight w:val="none"/>
          <w:shd w:val="clear" w:color="auto" w:fill="auto"/>
          <w:lang w:val="en-US" w:eastAsia="zh-CN" w:bidi="ar"/>
        </w:rPr>
        <w:t>，</w:t>
      </w:r>
      <w:r>
        <w:rPr>
          <w:rFonts w:hint="default" w:ascii="Times New Roman" w:hAnsi="Times New Roman" w:eastAsia="仿宋_GB2312" w:cs="Times New Roman"/>
          <w:i w:val="0"/>
          <w:caps w:val="0"/>
          <w:spacing w:val="0"/>
          <w:kern w:val="2"/>
          <w:sz w:val="32"/>
          <w:szCs w:val="32"/>
          <w:highlight w:val="none"/>
          <w:shd w:val="clear" w:color="auto" w:fill="auto"/>
          <w:lang w:val="en-US" w:eastAsia="zh-CN" w:bidi="ar"/>
        </w:rPr>
        <w:t>视项目推进情况，资金分步到位</w:t>
      </w:r>
      <w:r>
        <w:rPr>
          <w:rFonts w:hint="eastAsia" w:ascii="仿宋_GB2312" w:hAnsi="仿宋_GB2312" w:cs="仿宋_GB2312"/>
          <w:sz w:val="32"/>
          <w:szCs w:val="32"/>
          <w:lang w:val="en-US" w:eastAsia="zh-CN"/>
        </w:rPr>
        <w:t>。</w:t>
      </w:r>
    </w:p>
    <w:p w14:paraId="7348580C">
      <w:pPr>
        <w:pageBreakBefore w:val="0"/>
        <w:widowControl w:val="0"/>
        <w:kinsoku/>
        <w:wordWrap/>
        <w:overflowPunct/>
        <w:topLinePunct w:val="0"/>
        <w:bidi w:val="0"/>
        <w:adjustRightInd w:val="0"/>
        <w:snapToGrid w:val="0"/>
        <w:spacing w:line="560" w:lineRule="exact"/>
        <w:ind w:firstLine="640"/>
        <w:textAlignment w:val="auto"/>
        <w:rPr>
          <w:rFonts w:hint="default" w:hAnsi="Calibri"/>
          <w:color w:val="auto"/>
          <w:kern w:val="2"/>
          <w:szCs w:val="32"/>
          <w:highlight w:val="none"/>
          <w:shd w:val="clear" w:color="auto" w:fill="FFFFFF"/>
          <w:lang w:val="en-US" w:eastAsia="zh-CN" w:bidi="ar-SA"/>
        </w:rPr>
      </w:pPr>
      <w:r>
        <w:rPr>
          <w:rFonts w:hint="eastAsia" w:ascii="Times New Roman" w:hAnsi="Times New Roman" w:cs="Times New Roman"/>
          <w:color w:val="auto"/>
          <w:lang w:val="en-US"/>
        </w:rPr>
        <w:t>提示：</w:t>
      </w:r>
      <w:r>
        <w:rPr>
          <w:rFonts w:hint="eastAsia" w:hAnsi="Calibri"/>
          <w:color w:val="auto"/>
          <w:kern w:val="2"/>
          <w:szCs w:val="32"/>
          <w:highlight w:val="none"/>
          <w:shd w:val="clear" w:color="auto" w:fill="FFFFFF"/>
          <w:lang w:val="en-US" w:eastAsia="zh-CN" w:bidi="ar-SA"/>
        </w:rPr>
        <w:t>优先考虑高额出资参与</w:t>
      </w:r>
      <w:r>
        <w:rPr>
          <w:rFonts w:hint="eastAsia" w:ascii="Times New Roman" w:hAnsi="Times New Roman" w:cs="Times New Roman"/>
          <w:color w:val="auto"/>
          <w:szCs w:val="32"/>
          <w:lang w:val="en-US"/>
        </w:rPr>
        <w:t>振兴升级母基金</w:t>
      </w:r>
      <w:r>
        <w:rPr>
          <w:rFonts w:hint="eastAsia" w:hAnsi="Calibri"/>
          <w:color w:val="auto"/>
          <w:kern w:val="2"/>
          <w:szCs w:val="32"/>
          <w:highlight w:val="none"/>
          <w:shd w:val="clear" w:color="auto" w:fill="FFFFFF"/>
          <w:lang w:val="en-US" w:eastAsia="zh-CN" w:bidi="ar-SA"/>
        </w:rPr>
        <w:t>设立的申报机构。</w:t>
      </w:r>
    </w:p>
    <w:p w14:paraId="61D22D39">
      <w:pPr>
        <w:pStyle w:val="3"/>
        <w:pageBreakBefore w:val="0"/>
        <w:widowControl w:val="0"/>
        <w:kinsoku/>
        <w:wordWrap/>
        <w:overflowPunct/>
        <w:topLinePunct w:val="0"/>
        <w:bidi w:val="0"/>
        <w:spacing w:line="560" w:lineRule="exact"/>
        <w:textAlignment w:val="auto"/>
        <w:rPr>
          <w:rFonts w:hint="eastAsia" w:ascii="Times New Roman" w:hAnsi="Times New Roman" w:cs="Times New Roman"/>
          <w:color w:val="auto"/>
          <w:lang w:val="en-US"/>
        </w:rPr>
      </w:pPr>
      <w:r>
        <w:rPr>
          <w:rFonts w:hint="eastAsia" w:ascii="Times New Roman" w:hAnsi="Times New Roman" w:cs="Times New Roman"/>
          <w:color w:val="auto"/>
          <w:lang w:val="en-US"/>
        </w:rPr>
        <w:t>（</w:t>
      </w:r>
      <w:r>
        <w:rPr>
          <w:rFonts w:hint="eastAsia" w:cs="Times New Roman"/>
          <w:color w:val="auto"/>
          <w:lang w:val="en-US" w:eastAsia="zh-CN"/>
        </w:rPr>
        <w:t>五</w:t>
      </w:r>
      <w:r>
        <w:rPr>
          <w:rFonts w:hint="eastAsia" w:ascii="Times New Roman" w:hAnsi="Times New Roman" w:cs="Times New Roman"/>
          <w:color w:val="auto"/>
          <w:lang w:val="en-US"/>
        </w:rPr>
        <w:t>）存续期限</w:t>
      </w:r>
    </w:p>
    <w:p w14:paraId="2D11752D">
      <w:pPr>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振兴升级基金存续期15年，发挥长期资本、耐心资本作用。</w:t>
      </w:r>
      <w:r>
        <w:rPr>
          <w:rFonts w:hint="default" w:ascii="Times New Roman" w:hAnsi="Times New Roman" w:eastAsia="仿宋_GB2312" w:cs="Times New Roman"/>
          <w:spacing w:val="3"/>
          <w:sz w:val="32"/>
          <w:szCs w:val="32"/>
          <w:shd w:val="clear" w:color="auto" w:fill="FFFFFF"/>
        </w:rPr>
        <w:t>在所持资产转让或变现受限等情况下，</w:t>
      </w:r>
      <w:r>
        <w:rPr>
          <w:rFonts w:hint="default" w:ascii="Times New Roman" w:hAnsi="Times New Roman" w:eastAsia="仿宋_GB2312" w:cs="Times New Roman"/>
          <w:sz w:val="32"/>
          <w:szCs w:val="32"/>
        </w:rPr>
        <w:t>报省政府批准后，</w:t>
      </w:r>
      <w:r>
        <w:rPr>
          <w:rFonts w:hint="default" w:ascii="Times New Roman" w:hAnsi="Times New Roman" w:eastAsia="仿宋_GB2312" w:cs="Times New Roman"/>
          <w:kern w:val="0"/>
          <w:sz w:val="32"/>
          <w:szCs w:val="32"/>
        </w:rPr>
        <w:t>经出资人协商一致，可延长存续期最多不超过2年。</w:t>
      </w:r>
    </w:p>
    <w:p w14:paraId="305897D8">
      <w:pPr>
        <w:pStyle w:val="3"/>
        <w:pageBreakBefore w:val="0"/>
        <w:widowControl w:val="0"/>
        <w:kinsoku/>
        <w:wordWrap/>
        <w:overflowPunct/>
        <w:topLinePunct w:val="0"/>
        <w:bidi w:val="0"/>
        <w:spacing w:line="560" w:lineRule="exact"/>
        <w:textAlignment w:val="auto"/>
        <w:rPr>
          <w:rFonts w:hint="eastAsia" w:ascii="Times New Roman" w:hAnsi="Times New Roman" w:cs="Times New Roman"/>
          <w:color w:val="auto"/>
          <w:lang w:val="en-US"/>
        </w:rPr>
      </w:pPr>
      <w:r>
        <w:rPr>
          <w:rFonts w:hint="eastAsia" w:ascii="Times New Roman" w:hAnsi="Times New Roman" w:cs="Times New Roman"/>
          <w:color w:val="auto"/>
          <w:lang w:val="en-US"/>
        </w:rPr>
        <w:t>（</w:t>
      </w:r>
      <w:r>
        <w:rPr>
          <w:rFonts w:hint="eastAsia" w:cs="Times New Roman"/>
          <w:color w:val="auto"/>
          <w:lang w:val="en-US" w:eastAsia="zh-CN"/>
        </w:rPr>
        <w:t>六</w:t>
      </w:r>
      <w:r>
        <w:rPr>
          <w:rFonts w:hint="eastAsia" w:ascii="Times New Roman" w:hAnsi="Times New Roman" w:cs="Times New Roman"/>
          <w:color w:val="auto"/>
          <w:lang w:val="en-US"/>
        </w:rPr>
        <w:t>）投资方式</w:t>
      </w:r>
    </w:p>
    <w:p w14:paraId="1F3FA2A4">
      <w:pPr>
        <w:pageBreakBefore w:val="0"/>
        <w:widowControl w:val="0"/>
        <w:kinsoku/>
        <w:wordWrap/>
        <w:overflowPunct/>
        <w:topLinePunct w:val="0"/>
        <w:bidi w:val="0"/>
        <w:spacing w:line="560" w:lineRule="exact"/>
        <w:ind w:firstLine="640"/>
        <w:textAlignment w:val="auto"/>
        <w:rPr>
          <w:rFonts w:hint="eastAsia"/>
          <w:color w:val="auto"/>
        </w:rPr>
      </w:pPr>
      <w:r>
        <w:rPr>
          <w:rFonts w:hint="eastAsia"/>
          <w:color w:val="auto"/>
          <w:szCs w:val="32"/>
        </w:rPr>
        <w:t>振兴升级</w:t>
      </w:r>
      <w:r>
        <w:rPr>
          <w:rFonts w:hint="eastAsia"/>
          <w:color w:val="auto"/>
          <w:szCs w:val="32"/>
          <w:lang w:val="en-US" w:eastAsia="zh-CN"/>
        </w:rPr>
        <w:t>母</w:t>
      </w:r>
      <w:r>
        <w:rPr>
          <w:rFonts w:hint="eastAsia"/>
          <w:color w:val="auto"/>
          <w:szCs w:val="32"/>
        </w:rPr>
        <w:t>基金</w:t>
      </w:r>
      <w:r>
        <w:rPr>
          <w:rFonts w:hint="eastAsia" w:ascii="Times New Roman" w:eastAsia="仿宋_GB2312"/>
          <w:color w:val="auto"/>
          <w:sz w:val="32"/>
          <w:szCs w:val="22"/>
          <w:lang w:val="en-US"/>
        </w:rPr>
        <w:t>通过</w:t>
      </w:r>
      <w:r>
        <w:rPr>
          <w:rFonts w:hint="eastAsia"/>
          <w:color w:val="auto"/>
          <w:sz w:val="32"/>
          <w:szCs w:val="22"/>
          <w:lang w:val="en-US" w:eastAsia="zh-CN"/>
        </w:rPr>
        <w:t>投资</w:t>
      </w:r>
      <w:r>
        <w:rPr>
          <w:rFonts w:hint="eastAsia" w:ascii="Times New Roman" w:eastAsia="仿宋_GB2312"/>
          <w:color w:val="auto"/>
          <w:sz w:val="32"/>
          <w:szCs w:val="22"/>
          <w:lang w:val="en-US"/>
        </w:rPr>
        <w:t>子基金及直接投资</w:t>
      </w:r>
      <w:r>
        <w:rPr>
          <w:rFonts w:hint="eastAsia"/>
          <w:color w:val="auto"/>
          <w:sz w:val="32"/>
          <w:szCs w:val="22"/>
          <w:lang w:val="en-US" w:eastAsia="zh-CN"/>
        </w:rPr>
        <w:t>的</w:t>
      </w:r>
      <w:r>
        <w:rPr>
          <w:rFonts w:hint="eastAsia" w:ascii="Times New Roman" w:eastAsia="仿宋_GB2312"/>
          <w:color w:val="auto"/>
          <w:sz w:val="32"/>
          <w:szCs w:val="22"/>
          <w:lang w:val="en-US"/>
        </w:rPr>
        <w:t>方式</w:t>
      </w:r>
      <w:r>
        <w:rPr>
          <w:rFonts w:hint="eastAsia"/>
          <w:color w:val="auto"/>
          <w:sz w:val="32"/>
          <w:szCs w:val="22"/>
          <w:lang w:val="en-US" w:eastAsia="zh-CN"/>
        </w:rPr>
        <w:t>进行</w:t>
      </w:r>
      <w:r>
        <w:rPr>
          <w:rFonts w:hint="eastAsia" w:ascii="Times New Roman"/>
          <w:color w:val="auto"/>
          <w:sz w:val="32"/>
          <w:szCs w:val="22"/>
          <w:lang w:val="en-US" w:eastAsia="zh-CN"/>
        </w:rPr>
        <w:t>投资</w:t>
      </w:r>
      <w:r>
        <w:rPr>
          <w:color w:val="auto"/>
        </w:rPr>
        <w:t>，</w:t>
      </w:r>
      <w:r>
        <w:rPr>
          <w:rFonts w:hint="eastAsia"/>
          <w:color w:val="auto"/>
        </w:rPr>
        <w:t>其中：</w:t>
      </w:r>
    </w:p>
    <w:p w14:paraId="7B6281FB">
      <w:pPr>
        <w:pageBreakBefore w:val="0"/>
        <w:widowControl w:val="0"/>
        <w:kinsoku/>
        <w:wordWrap/>
        <w:overflowPunct/>
        <w:topLinePunct w:val="0"/>
        <w:bidi w:val="0"/>
        <w:spacing w:line="560" w:lineRule="exact"/>
        <w:ind w:firstLine="640"/>
        <w:textAlignment w:val="auto"/>
        <w:rPr>
          <w:rFonts w:hint="eastAsia"/>
          <w:color w:val="auto"/>
        </w:rPr>
      </w:pPr>
      <w:r>
        <w:rPr>
          <w:rFonts w:hint="eastAsia"/>
          <w:color w:val="auto"/>
        </w:rPr>
        <w:t>直接投资的规模不超过</w:t>
      </w:r>
      <w:r>
        <w:rPr>
          <w:rFonts w:hint="eastAsia"/>
          <w:color w:val="auto"/>
          <w:szCs w:val="32"/>
        </w:rPr>
        <w:t>振兴升级</w:t>
      </w:r>
      <w:r>
        <w:rPr>
          <w:rFonts w:hint="eastAsia"/>
          <w:color w:val="auto"/>
          <w:szCs w:val="32"/>
          <w:lang w:val="en-US" w:eastAsia="zh-CN"/>
        </w:rPr>
        <w:t>母</w:t>
      </w:r>
      <w:r>
        <w:rPr>
          <w:rFonts w:hint="eastAsia"/>
          <w:color w:val="auto"/>
          <w:szCs w:val="32"/>
        </w:rPr>
        <w:t>基金</w:t>
      </w:r>
      <w:r>
        <w:rPr>
          <w:rFonts w:hint="eastAsia"/>
          <w:color w:val="auto"/>
        </w:rPr>
        <w:t>实缴出资额的</w:t>
      </w:r>
      <w:r>
        <w:rPr>
          <w:rFonts w:hint="default" w:ascii="Times New Roman" w:hAnsi="Times New Roman" w:cs="Times New Roman"/>
          <w:color w:val="auto"/>
        </w:rPr>
        <w:t>20</w:t>
      </w:r>
      <w:r>
        <w:rPr>
          <w:rFonts w:hint="eastAsia"/>
          <w:color w:val="auto"/>
        </w:rPr>
        <w:t>%。</w:t>
      </w:r>
    </w:p>
    <w:p w14:paraId="5A125F8C">
      <w:pPr>
        <w:pageBreakBefore w:val="0"/>
        <w:widowControl w:val="0"/>
        <w:kinsoku/>
        <w:wordWrap/>
        <w:overflowPunct/>
        <w:topLinePunct w:val="0"/>
        <w:bidi w:val="0"/>
        <w:spacing w:line="560" w:lineRule="exact"/>
        <w:ind w:firstLine="640"/>
        <w:textAlignment w:val="auto"/>
        <w:rPr>
          <w:rFonts w:hint="eastAsia" w:ascii="Times New Roman" w:eastAsia="仿宋_GB2312"/>
          <w:color w:val="auto"/>
          <w:sz w:val="32"/>
          <w:szCs w:val="22"/>
          <w:lang w:val="en-US"/>
        </w:rPr>
      </w:pPr>
      <w:r>
        <w:rPr>
          <w:rFonts w:hint="eastAsia"/>
          <w:color w:val="auto"/>
        </w:rPr>
        <w:t>投资子基金的规模不低于</w:t>
      </w:r>
      <w:r>
        <w:rPr>
          <w:rFonts w:hint="eastAsia"/>
          <w:color w:val="auto"/>
          <w:szCs w:val="32"/>
        </w:rPr>
        <w:t>振兴升级</w:t>
      </w:r>
      <w:r>
        <w:rPr>
          <w:rFonts w:hint="eastAsia"/>
          <w:color w:val="auto"/>
          <w:szCs w:val="32"/>
          <w:lang w:val="en-US" w:eastAsia="zh-CN"/>
        </w:rPr>
        <w:t>母</w:t>
      </w:r>
      <w:r>
        <w:rPr>
          <w:rFonts w:hint="eastAsia"/>
          <w:color w:val="auto"/>
          <w:szCs w:val="32"/>
        </w:rPr>
        <w:t>基金</w:t>
      </w:r>
      <w:r>
        <w:rPr>
          <w:rFonts w:hint="eastAsia"/>
          <w:color w:val="auto"/>
        </w:rPr>
        <w:t>实缴出资额的</w:t>
      </w:r>
      <w:r>
        <w:rPr>
          <w:rFonts w:hint="default" w:ascii="Times New Roman" w:hAnsi="Times New Roman" w:cs="Times New Roman"/>
          <w:color w:val="auto"/>
        </w:rPr>
        <w:t>80</w:t>
      </w:r>
      <w:r>
        <w:rPr>
          <w:rFonts w:hint="eastAsia"/>
          <w:color w:val="auto"/>
        </w:rPr>
        <w:t>%，在单个子基金中的认缴出资比例原则上不超过</w:t>
      </w:r>
      <w:r>
        <w:rPr>
          <w:rFonts w:hint="eastAsia"/>
          <w:color w:val="auto"/>
          <w:lang w:val="en-US" w:eastAsia="zh-CN"/>
        </w:rPr>
        <w:t>母基金总规模的20%，且不超过</w:t>
      </w:r>
      <w:r>
        <w:rPr>
          <w:rFonts w:hint="eastAsia"/>
          <w:color w:val="auto"/>
        </w:rPr>
        <w:t>该子基金总规模的</w:t>
      </w:r>
      <w:r>
        <w:rPr>
          <w:rFonts w:hint="default" w:ascii="Times New Roman" w:hAnsi="Times New Roman" w:cs="Times New Roman"/>
          <w:color w:val="auto"/>
        </w:rPr>
        <w:t>50</w:t>
      </w:r>
      <w:r>
        <w:rPr>
          <w:rFonts w:hint="eastAsia"/>
          <w:color w:val="auto"/>
        </w:rPr>
        <w:t>%。</w:t>
      </w:r>
    </w:p>
    <w:p w14:paraId="37225498">
      <w:pPr>
        <w:pStyle w:val="3"/>
        <w:pageBreakBefore w:val="0"/>
        <w:widowControl w:val="0"/>
        <w:kinsoku/>
        <w:wordWrap/>
        <w:overflowPunct/>
        <w:topLinePunct w:val="0"/>
        <w:bidi w:val="0"/>
        <w:spacing w:line="560" w:lineRule="exact"/>
        <w:ind w:left="0" w:leftChars="0" w:firstLine="640" w:firstLineChars="200"/>
        <w:textAlignment w:val="auto"/>
        <w:rPr>
          <w:rFonts w:hint="eastAsia" w:ascii="Times New Roman" w:hAnsi="Times New Roman" w:cs="Times New Roman"/>
          <w:color w:val="auto"/>
          <w:lang w:val="en-US"/>
        </w:rPr>
      </w:pPr>
      <w:r>
        <w:rPr>
          <w:rFonts w:hint="eastAsia" w:ascii="Times New Roman" w:hAnsi="Times New Roman" w:cs="Times New Roman"/>
          <w:color w:val="auto"/>
          <w:lang w:val="en-US"/>
        </w:rPr>
        <w:t>（</w:t>
      </w:r>
      <w:r>
        <w:rPr>
          <w:rFonts w:hint="eastAsia" w:cs="Times New Roman"/>
          <w:color w:val="auto"/>
          <w:lang w:val="en-US" w:eastAsia="zh-CN"/>
        </w:rPr>
        <w:t>七</w:t>
      </w:r>
      <w:r>
        <w:rPr>
          <w:rFonts w:hint="eastAsia" w:ascii="Times New Roman" w:hAnsi="Times New Roman" w:cs="Times New Roman"/>
          <w:color w:val="auto"/>
          <w:lang w:val="en-US"/>
        </w:rPr>
        <w:t>）投资领域</w:t>
      </w:r>
    </w:p>
    <w:p w14:paraId="3908265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32"/>
        </w:rPr>
      </w:pPr>
      <w:r>
        <w:rPr>
          <w:rFonts w:hint="eastAsia"/>
          <w:color w:val="auto"/>
          <w:szCs w:val="32"/>
          <w:lang w:val="en-US" w:eastAsia="zh-CN"/>
        </w:rPr>
        <w:t>振兴升级母子基金</w:t>
      </w:r>
      <w:r>
        <w:rPr>
          <w:rFonts w:hint="default" w:ascii="Times New Roman" w:hAnsi="Times New Roman" w:eastAsia="仿宋_GB2312" w:cs="Times New Roman"/>
          <w:sz w:val="32"/>
          <w:szCs w:val="32"/>
          <w:lang w:eastAsia="zh-CN"/>
        </w:rPr>
        <w:t>重点</w:t>
      </w:r>
      <w:r>
        <w:rPr>
          <w:rFonts w:hint="default" w:ascii="Times New Roman" w:hAnsi="Times New Roman" w:eastAsia="仿宋_GB2312" w:cs="Times New Roman"/>
          <w:b w:val="0"/>
          <w:bCs w:val="0"/>
          <w:kern w:val="2"/>
          <w:sz w:val="32"/>
          <w:szCs w:val="32"/>
          <w:lang w:val="en-US" w:eastAsia="zh-CN" w:bidi="ar-SA"/>
        </w:rPr>
        <w:t>围绕“</w:t>
      </w:r>
      <w:r>
        <w:rPr>
          <w:rFonts w:hint="default" w:ascii="Times New Roman" w:hAnsi="Times New Roman" w:eastAsia="仿宋_GB2312" w:cs="Times New Roman"/>
          <w:sz w:val="32"/>
          <w:szCs w:val="32"/>
          <w:lang w:val="en-US" w:eastAsia="zh-CN"/>
        </w:rPr>
        <w:t>能源转型、产业升级、适度多元</w:t>
      </w:r>
      <w:r>
        <w:rPr>
          <w:rFonts w:hint="eastAsia" w:cs="Times New Roman"/>
          <w:sz w:val="32"/>
          <w:szCs w:val="32"/>
          <w:lang w:val="en-US" w:eastAsia="zh-CN"/>
        </w:rPr>
        <w:t>发展</w:t>
      </w:r>
      <w:r>
        <w:rPr>
          <w:rFonts w:hint="default" w:ascii="Times New Roman" w:hAnsi="Times New Roman" w:eastAsia="仿宋_GB2312" w:cs="Times New Roman"/>
          <w:b w:val="0"/>
          <w:bCs w:val="0"/>
          <w:kern w:val="2"/>
          <w:sz w:val="32"/>
          <w:szCs w:val="32"/>
          <w:lang w:val="en-US" w:eastAsia="zh-CN" w:bidi="ar-SA"/>
        </w:rPr>
        <w:t>”转型主攻方向</w:t>
      </w:r>
      <w:r>
        <w:rPr>
          <w:rFonts w:hint="default" w:ascii="Times New Roman" w:hAnsi="Times New Roman" w:eastAsia="仿宋_GB2312" w:cs="Times New Roman"/>
          <w:sz w:val="32"/>
          <w:szCs w:val="32"/>
        </w:rPr>
        <w:t>，培育发展新动能新优势，支持传统产业改造升级、战新产业培育壮大、未来产业布局建设，重点投向高端装备制造、新材料及煤化工、生物医药、新能源、信息及数字产业等主导产业以及其他潜力产业，主要投资产业链关键环节和延链补链项目。</w:t>
      </w:r>
    </w:p>
    <w:p w14:paraId="7702065A">
      <w:pPr>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32"/>
        </w:rPr>
      </w:pPr>
      <w:r>
        <w:rPr>
          <w:rFonts w:hint="eastAsia"/>
          <w:color w:val="auto"/>
          <w:szCs w:val="32"/>
          <w:lang w:val="en-US" w:eastAsia="zh-CN"/>
        </w:rPr>
        <w:t>振兴升级母基金</w:t>
      </w:r>
      <w:r>
        <w:rPr>
          <w:rFonts w:hint="default" w:ascii="Times New Roman" w:hAnsi="Times New Roman" w:eastAsia="仿宋_GB2312" w:cs="Times New Roman"/>
          <w:sz w:val="32"/>
          <w:szCs w:val="32"/>
        </w:rPr>
        <w:t>直接投资的投资对象原则上应为</w:t>
      </w:r>
      <w:r>
        <w:rPr>
          <w:rFonts w:hint="default" w:ascii="Times New Roman" w:hAnsi="Times New Roman" w:eastAsia="仿宋_GB2312" w:cs="Times New Roman"/>
          <w:sz w:val="32"/>
          <w:szCs w:val="32"/>
          <w:lang w:eastAsia="zh-CN"/>
        </w:rPr>
        <w:t>山西省</w:t>
      </w:r>
      <w:bookmarkStart w:id="0" w:name="_Hlk172274343"/>
      <w:r>
        <w:rPr>
          <w:rFonts w:hint="default" w:ascii="Times New Roman" w:hAnsi="Times New Roman" w:eastAsia="仿宋_GB2312" w:cs="Times New Roman"/>
          <w:sz w:val="32"/>
          <w:szCs w:val="32"/>
        </w:rPr>
        <w:t>内企业，子基金投资</w:t>
      </w:r>
      <w:r>
        <w:rPr>
          <w:rFonts w:hint="default" w:ascii="Times New Roman" w:hAnsi="Times New Roman" w:eastAsia="仿宋_GB2312" w:cs="Times New Roman"/>
          <w:sz w:val="32"/>
          <w:szCs w:val="32"/>
          <w:lang w:eastAsia="zh-CN"/>
        </w:rPr>
        <w:t>山西省</w:t>
      </w:r>
      <w:r>
        <w:rPr>
          <w:rFonts w:hint="default" w:ascii="Times New Roman" w:hAnsi="Times New Roman" w:eastAsia="仿宋_GB2312" w:cs="Times New Roman"/>
          <w:sz w:val="32"/>
          <w:szCs w:val="32"/>
        </w:rPr>
        <w:t>内企业的金额应不低于振兴升级基金在子基金中的实缴出资额。以下情形均可认定为投资</w:t>
      </w:r>
      <w:r>
        <w:rPr>
          <w:rFonts w:hint="default" w:ascii="Times New Roman" w:hAnsi="Times New Roman" w:eastAsia="仿宋_GB2312" w:cs="Times New Roman"/>
          <w:sz w:val="32"/>
          <w:szCs w:val="32"/>
          <w:lang w:eastAsia="zh-CN"/>
        </w:rPr>
        <w:t>山西省</w:t>
      </w:r>
      <w:r>
        <w:rPr>
          <w:rFonts w:hint="default" w:ascii="Times New Roman" w:hAnsi="Times New Roman" w:eastAsia="仿宋_GB2312" w:cs="Times New Roman"/>
          <w:sz w:val="32"/>
          <w:szCs w:val="32"/>
        </w:rPr>
        <w:t>内企业的资金：</w:t>
      </w:r>
    </w:p>
    <w:p w14:paraId="504B4521">
      <w:pPr>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1.直接投资</w:t>
      </w:r>
      <w:r>
        <w:rPr>
          <w:rFonts w:hint="default" w:ascii="Times New Roman" w:hAnsi="Times New Roman" w:eastAsia="仿宋_GB2312" w:cs="Times New Roman"/>
          <w:sz w:val="32"/>
          <w:szCs w:val="32"/>
          <w:lang w:eastAsia="zh-CN"/>
        </w:rPr>
        <w:t>山西省</w:t>
      </w:r>
      <w:r>
        <w:rPr>
          <w:rFonts w:hint="default" w:ascii="Times New Roman" w:hAnsi="Times New Roman" w:eastAsia="仿宋_GB2312" w:cs="Times New Roman"/>
          <w:sz w:val="32"/>
          <w:szCs w:val="32"/>
        </w:rPr>
        <w:t>内企业</w:t>
      </w:r>
      <w:r>
        <w:rPr>
          <w:rFonts w:hint="default" w:ascii="Times New Roman" w:hAnsi="Times New Roman" w:eastAsia="仿宋_GB2312" w:cs="Times New Roman"/>
          <w:kern w:val="0"/>
          <w:sz w:val="32"/>
          <w:szCs w:val="32"/>
        </w:rPr>
        <w:t>的;</w:t>
      </w:r>
    </w:p>
    <w:p w14:paraId="2A4758DF">
      <w:pPr>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sz w:val="32"/>
          <w:szCs w:val="32"/>
          <w:lang w:eastAsia="zh-CN"/>
        </w:rPr>
        <w:t>山西省</w:t>
      </w:r>
      <w:r>
        <w:rPr>
          <w:rFonts w:hint="default" w:ascii="Times New Roman" w:hAnsi="Times New Roman" w:eastAsia="仿宋_GB2312" w:cs="Times New Roman"/>
          <w:kern w:val="0"/>
          <w:sz w:val="32"/>
          <w:szCs w:val="32"/>
        </w:rPr>
        <w:t>外企业在</w:t>
      </w:r>
      <w:r>
        <w:rPr>
          <w:rFonts w:hint="default" w:ascii="Times New Roman" w:hAnsi="Times New Roman" w:eastAsia="仿宋_GB2312" w:cs="Times New Roman"/>
          <w:sz w:val="32"/>
          <w:szCs w:val="32"/>
          <w:lang w:eastAsia="zh-CN"/>
        </w:rPr>
        <w:t>山西</w:t>
      </w:r>
      <w:bookmarkEnd w:id="0"/>
      <w:r>
        <w:rPr>
          <w:rFonts w:hint="default" w:ascii="Times New Roman" w:hAnsi="Times New Roman" w:eastAsia="仿宋_GB2312" w:cs="Times New Roman"/>
          <w:kern w:val="0"/>
          <w:sz w:val="32"/>
          <w:szCs w:val="32"/>
        </w:rPr>
        <w:t>设立新企业的;</w:t>
      </w:r>
    </w:p>
    <w:p w14:paraId="19AF1365">
      <w:pPr>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lang w:val="en-US" w:eastAsia="zh-CN"/>
        </w:rPr>
      </w:pPr>
      <w:r>
        <w:rPr>
          <w:rFonts w:hint="default" w:ascii="Times New Roman" w:hAnsi="Times New Roman" w:eastAsia="仿宋_GB2312" w:cs="Times New Roman"/>
          <w:kern w:val="0"/>
          <w:sz w:val="32"/>
          <w:szCs w:val="32"/>
        </w:rPr>
        <w:t>3.其他可认定为投资</w:t>
      </w:r>
      <w:r>
        <w:rPr>
          <w:rFonts w:hint="default" w:ascii="Times New Roman" w:hAnsi="Times New Roman" w:eastAsia="仿宋_GB2312" w:cs="Times New Roman"/>
          <w:sz w:val="32"/>
          <w:szCs w:val="32"/>
          <w:lang w:eastAsia="zh-CN"/>
        </w:rPr>
        <w:t>山西省内</w:t>
      </w:r>
      <w:r>
        <w:rPr>
          <w:rFonts w:hint="default" w:ascii="Times New Roman" w:hAnsi="Times New Roman" w:eastAsia="仿宋_GB2312" w:cs="Times New Roman"/>
          <w:kern w:val="0"/>
          <w:sz w:val="32"/>
          <w:szCs w:val="32"/>
        </w:rPr>
        <w:t>企业的。</w:t>
      </w:r>
    </w:p>
    <w:p w14:paraId="5F567F15">
      <w:pPr>
        <w:pStyle w:val="3"/>
        <w:pageBreakBefore w:val="0"/>
        <w:widowControl w:val="0"/>
        <w:kinsoku/>
        <w:wordWrap/>
        <w:overflowPunct/>
        <w:topLinePunct w:val="0"/>
        <w:bidi w:val="0"/>
        <w:spacing w:line="560" w:lineRule="exact"/>
        <w:ind w:firstLine="640"/>
        <w:textAlignment w:val="auto"/>
        <w:rPr>
          <w:rFonts w:hint="eastAsia"/>
          <w:color w:val="auto"/>
          <w:shd w:val="clear" w:color="auto" w:fill="FFFFFF"/>
        </w:rPr>
      </w:pPr>
      <w:r>
        <w:rPr>
          <w:rFonts w:hint="eastAsia"/>
          <w:color w:val="auto"/>
          <w:shd w:val="clear" w:color="auto" w:fill="FFFFFF"/>
        </w:rPr>
        <w:t>（</w:t>
      </w:r>
      <w:r>
        <w:rPr>
          <w:rFonts w:hint="eastAsia"/>
          <w:color w:val="auto"/>
          <w:shd w:val="clear" w:color="auto" w:fill="FFFFFF"/>
          <w:lang w:val="en-US" w:eastAsia="zh-CN"/>
        </w:rPr>
        <w:t>八</w:t>
      </w:r>
      <w:r>
        <w:rPr>
          <w:rFonts w:hint="eastAsia"/>
          <w:color w:val="auto"/>
          <w:shd w:val="clear" w:color="auto" w:fill="FFFFFF"/>
        </w:rPr>
        <w:t>）投资范围</w:t>
      </w:r>
    </w:p>
    <w:p w14:paraId="11E25386">
      <w:pPr>
        <w:pageBreakBefore w:val="0"/>
        <w:widowControl w:val="0"/>
        <w:kinsoku/>
        <w:wordWrap/>
        <w:overflowPunct/>
        <w:topLinePunct w:val="0"/>
        <w:bidi w:val="0"/>
        <w:spacing w:line="560" w:lineRule="exact"/>
        <w:ind w:firstLine="640"/>
        <w:textAlignment w:val="auto"/>
        <w:rPr>
          <w:rFonts w:hint="eastAsia"/>
          <w:color w:val="auto"/>
        </w:rPr>
      </w:pPr>
      <w:bookmarkStart w:id="1" w:name="_Hlk172274270"/>
      <w:r>
        <w:rPr>
          <w:rFonts w:hint="eastAsia"/>
          <w:color w:val="auto"/>
          <w:szCs w:val="32"/>
        </w:rPr>
        <w:t>振兴升级</w:t>
      </w:r>
      <w:r>
        <w:rPr>
          <w:rFonts w:hint="eastAsia"/>
          <w:color w:val="auto"/>
          <w:szCs w:val="32"/>
          <w:lang w:val="en-US" w:eastAsia="zh-CN"/>
        </w:rPr>
        <w:t>母</w:t>
      </w:r>
      <w:r>
        <w:rPr>
          <w:rFonts w:hint="eastAsia"/>
          <w:color w:val="auto"/>
        </w:rPr>
        <w:t>子基金的投资范围包括：</w:t>
      </w:r>
      <w:bookmarkEnd w:id="1"/>
    </w:p>
    <w:p w14:paraId="5281F34B">
      <w:pPr>
        <w:pageBreakBefore w:val="0"/>
        <w:widowControl w:val="0"/>
        <w:kinsoku/>
        <w:wordWrap/>
        <w:overflowPunct/>
        <w:topLinePunct w:val="0"/>
        <w:bidi w:val="0"/>
        <w:spacing w:line="560" w:lineRule="exact"/>
        <w:ind w:firstLine="640"/>
        <w:textAlignment w:val="auto"/>
        <w:rPr>
          <w:rFonts w:hint="eastAsia"/>
          <w:color w:val="auto"/>
          <w:kern w:val="0"/>
          <w:szCs w:val="32"/>
        </w:rPr>
      </w:pPr>
      <w:r>
        <w:rPr>
          <w:rFonts w:hint="default" w:ascii="Times New Roman" w:hAnsi="Times New Roman" w:cs="Times New Roman"/>
          <w:color w:val="auto"/>
          <w:kern w:val="0"/>
          <w:szCs w:val="32"/>
        </w:rPr>
        <w:t>1</w:t>
      </w:r>
      <w:r>
        <w:rPr>
          <w:rFonts w:hint="eastAsia"/>
          <w:color w:val="auto"/>
          <w:kern w:val="0"/>
          <w:szCs w:val="32"/>
        </w:rPr>
        <w:t>.未上市公司股权（包括新三板挂牌公司股权）</w:t>
      </w:r>
      <w:r>
        <w:rPr>
          <w:color w:val="auto"/>
          <w:kern w:val="0"/>
          <w:szCs w:val="32"/>
        </w:rPr>
        <w:t>;</w:t>
      </w:r>
    </w:p>
    <w:p w14:paraId="0D07D1E2">
      <w:pPr>
        <w:pageBreakBefore w:val="0"/>
        <w:widowControl w:val="0"/>
        <w:kinsoku/>
        <w:wordWrap/>
        <w:overflowPunct/>
        <w:topLinePunct w:val="0"/>
        <w:bidi w:val="0"/>
        <w:spacing w:line="560" w:lineRule="exact"/>
        <w:ind w:firstLine="640"/>
        <w:textAlignment w:val="auto"/>
        <w:rPr>
          <w:rFonts w:hint="eastAsia"/>
          <w:color w:val="auto"/>
          <w:kern w:val="0"/>
          <w:szCs w:val="32"/>
        </w:rPr>
      </w:pPr>
      <w:r>
        <w:rPr>
          <w:rFonts w:hint="default" w:ascii="Times New Roman" w:hAnsi="Times New Roman" w:cs="Times New Roman"/>
          <w:color w:val="auto"/>
          <w:kern w:val="0"/>
          <w:szCs w:val="32"/>
        </w:rPr>
        <w:t>2</w:t>
      </w:r>
      <w:r>
        <w:rPr>
          <w:rFonts w:hint="eastAsia"/>
          <w:color w:val="auto"/>
          <w:kern w:val="0"/>
          <w:szCs w:val="32"/>
        </w:rPr>
        <w:t>.上市公司定向增发；</w:t>
      </w:r>
    </w:p>
    <w:p w14:paraId="5F7BC856">
      <w:pPr>
        <w:pageBreakBefore w:val="0"/>
        <w:widowControl w:val="0"/>
        <w:kinsoku/>
        <w:wordWrap/>
        <w:overflowPunct/>
        <w:topLinePunct w:val="0"/>
        <w:bidi w:val="0"/>
        <w:spacing w:line="560" w:lineRule="exact"/>
        <w:ind w:firstLine="640"/>
        <w:textAlignment w:val="auto"/>
        <w:rPr>
          <w:rFonts w:hint="eastAsia"/>
          <w:color w:val="auto"/>
          <w:kern w:val="0"/>
          <w:szCs w:val="32"/>
        </w:rPr>
      </w:pPr>
      <w:r>
        <w:rPr>
          <w:rFonts w:hint="default" w:ascii="Times New Roman" w:hAnsi="Times New Roman" w:cs="Times New Roman"/>
          <w:color w:val="auto"/>
          <w:kern w:val="0"/>
          <w:szCs w:val="32"/>
        </w:rPr>
        <w:t>3</w:t>
      </w:r>
      <w:r>
        <w:rPr>
          <w:rFonts w:hint="eastAsia"/>
          <w:color w:val="auto"/>
          <w:kern w:val="0"/>
          <w:szCs w:val="32"/>
        </w:rPr>
        <w:t>.以并购上市公司为目的的大宗交易和协议转让；</w:t>
      </w:r>
    </w:p>
    <w:p w14:paraId="6D805459">
      <w:pPr>
        <w:pageBreakBefore w:val="0"/>
        <w:widowControl w:val="0"/>
        <w:kinsoku/>
        <w:wordWrap/>
        <w:overflowPunct/>
        <w:topLinePunct w:val="0"/>
        <w:bidi w:val="0"/>
        <w:spacing w:line="560" w:lineRule="exact"/>
        <w:ind w:firstLine="640"/>
        <w:textAlignment w:val="auto"/>
        <w:rPr>
          <w:rFonts w:hint="eastAsia"/>
          <w:color w:val="auto"/>
          <w:kern w:val="0"/>
          <w:szCs w:val="32"/>
        </w:rPr>
      </w:pPr>
      <w:r>
        <w:rPr>
          <w:rFonts w:hint="default" w:ascii="Times New Roman" w:hAnsi="Times New Roman" w:cs="Times New Roman"/>
          <w:color w:val="auto"/>
          <w:kern w:val="0"/>
          <w:szCs w:val="32"/>
        </w:rPr>
        <w:t>4</w:t>
      </w:r>
      <w:r>
        <w:rPr>
          <w:rFonts w:hint="eastAsia"/>
          <w:color w:val="auto"/>
          <w:kern w:val="0"/>
          <w:szCs w:val="32"/>
        </w:rPr>
        <w:t>.IPO战略配售（A股市场）、基石投资（港股等境外市场）；</w:t>
      </w:r>
    </w:p>
    <w:p w14:paraId="280B20A1">
      <w:pPr>
        <w:pageBreakBefore w:val="0"/>
        <w:widowControl w:val="0"/>
        <w:kinsoku/>
        <w:wordWrap/>
        <w:overflowPunct/>
        <w:topLinePunct w:val="0"/>
        <w:bidi w:val="0"/>
        <w:spacing w:line="560" w:lineRule="exact"/>
        <w:ind w:firstLine="640"/>
        <w:textAlignment w:val="auto"/>
        <w:rPr>
          <w:rFonts w:hint="eastAsia"/>
          <w:color w:val="auto"/>
          <w:kern w:val="0"/>
          <w:szCs w:val="32"/>
        </w:rPr>
      </w:pPr>
      <w:r>
        <w:rPr>
          <w:rFonts w:hint="default" w:ascii="Times New Roman" w:hAnsi="Times New Roman" w:cs="Times New Roman"/>
          <w:color w:val="auto"/>
          <w:kern w:val="0"/>
          <w:szCs w:val="32"/>
        </w:rPr>
        <w:t>5</w:t>
      </w:r>
      <w:r>
        <w:rPr>
          <w:rFonts w:hint="eastAsia"/>
          <w:color w:val="auto"/>
          <w:kern w:val="0"/>
          <w:szCs w:val="32"/>
        </w:rPr>
        <w:t>.公募REITs战略配售；</w:t>
      </w:r>
    </w:p>
    <w:p w14:paraId="095E5FB9">
      <w:pPr>
        <w:pageBreakBefore w:val="0"/>
        <w:widowControl w:val="0"/>
        <w:kinsoku/>
        <w:wordWrap/>
        <w:overflowPunct/>
        <w:topLinePunct w:val="0"/>
        <w:bidi w:val="0"/>
        <w:spacing w:line="560" w:lineRule="exact"/>
        <w:ind w:firstLine="640"/>
        <w:textAlignment w:val="auto"/>
        <w:rPr>
          <w:rFonts w:hint="eastAsia"/>
          <w:color w:val="auto"/>
          <w:kern w:val="0"/>
          <w:szCs w:val="32"/>
        </w:rPr>
      </w:pPr>
      <w:r>
        <w:rPr>
          <w:rFonts w:hint="default" w:ascii="Times New Roman" w:hAnsi="Times New Roman" w:cs="Times New Roman"/>
          <w:color w:val="auto"/>
          <w:kern w:val="0"/>
          <w:szCs w:val="32"/>
        </w:rPr>
        <w:t>6</w:t>
      </w:r>
      <w:r>
        <w:rPr>
          <w:rFonts w:hint="eastAsia"/>
          <w:color w:val="auto"/>
          <w:kern w:val="0"/>
          <w:szCs w:val="32"/>
        </w:rPr>
        <w:t>.其他私募股权基金允许的资产。</w:t>
      </w:r>
    </w:p>
    <w:p w14:paraId="4555CE50">
      <w:pPr>
        <w:pageBreakBefore w:val="0"/>
        <w:widowControl w:val="0"/>
        <w:kinsoku/>
        <w:wordWrap/>
        <w:overflowPunct/>
        <w:topLinePunct w:val="0"/>
        <w:bidi w:val="0"/>
        <w:spacing w:line="560" w:lineRule="exact"/>
        <w:ind w:firstLine="640"/>
        <w:textAlignment w:val="auto"/>
        <w:rPr>
          <w:rFonts w:hint="eastAsia"/>
          <w:color w:val="auto"/>
          <w:kern w:val="0"/>
          <w:szCs w:val="32"/>
        </w:rPr>
      </w:pPr>
      <w:r>
        <w:rPr>
          <w:rFonts w:hint="eastAsia"/>
          <w:color w:val="auto"/>
          <w:kern w:val="0"/>
          <w:szCs w:val="32"/>
        </w:rPr>
        <w:t>除以并购上市公司为目的外，投资比例一般不超过企业注册资本金或净资产的</w:t>
      </w:r>
      <w:r>
        <w:rPr>
          <w:rFonts w:hint="default" w:ascii="Times New Roman" w:hAnsi="Times New Roman" w:cs="Times New Roman"/>
          <w:color w:val="auto"/>
          <w:kern w:val="0"/>
          <w:szCs w:val="32"/>
        </w:rPr>
        <w:t>35</w:t>
      </w:r>
      <w:r>
        <w:rPr>
          <w:rFonts w:hint="eastAsia"/>
          <w:color w:val="auto"/>
          <w:kern w:val="0"/>
          <w:szCs w:val="32"/>
        </w:rPr>
        <w:t>%（如有</w:t>
      </w:r>
      <w:r>
        <w:rPr>
          <w:rFonts w:hint="eastAsia"/>
          <w:color w:val="auto"/>
          <w:kern w:val="0"/>
          <w:szCs w:val="32"/>
          <w:lang w:val="en-US" w:eastAsia="zh-CN"/>
        </w:rPr>
        <w:t>山西</w:t>
      </w:r>
      <w:r>
        <w:rPr>
          <w:rFonts w:hint="eastAsia"/>
          <w:color w:val="auto"/>
          <w:kern w:val="0"/>
          <w:szCs w:val="32"/>
        </w:rPr>
        <w:t>省内各级政府财政出资的其它基金共同参股投资，投资比例一般应合计计算不超过</w:t>
      </w:r>
      <w:r>
        <w:rPr>
          <w:rFonts w:hint="default" w:ascii="Times New Roman" w:hAnsi="Times New Roman" w:cs="Times New Roman"/>
          <w:color w:val="auto"/>
          <w:kern w:val="0"/>
          <w:szCs w:val="32"/>
        </w:rPr>
        <w:t>40</w:t>
      </w:r>
      <w:r>
        <w:rPr>
          <w:rFonts w:hint="eastAsia"/>
          <w:color w:val="auto"/>
          <w:kern w:val="0"/>
          <w:szCs w:val="32"/>
        </w:rPr>
        <w:t>%），且一般不能成为第一大股东。</w:t>
      </w:r>
    </w:p>
    <w:p w14:paraId="0C2FA0ED">
      <w:pPr>
        <w:pStyle w:val="3"/>
        <w:pageBreakBefore w:val="0"/>
        <w:widowControl w:val="0"/>
        <w:kinsoku/>
        <w:wordWrap/>
        <w:overflowPunct/>
        <w:topLinePunct w:val="0"/>
        <w:bidi w:val="0"/>
        <w:spacing w:line="560" w:lineRule="exac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rPr>
        <w:t>（</w:t>
      </w:r>
      <w:r>
        <w:rPr>
          <w:rFonts w:hint="eastAsia" w:cs="Times New Roman"/>
          <w:color w:val="auto"/>
          <w:lang w:val="en-US" w:eastAsia="zh-CN"/>
        </w:rPr>
        <w:t>九</w:t>
      </w:r>
      <w:r>
        <w:rPr>
          <w:rFonts w:hint="eastAsia" w:ascii="Times New Roman" w:hAnsi="Times New Roman" w:cs="Times New Roman"/>
          <w:color w:val="auto"/>
          <w:lang w:val="en-US"/>
        </w:rPr>
        <w:t>）</w:t>
      </w:r>
      <w:r>
        <w:rPr>
          <w:rFonts w:hint="eastAsia" w:ascii="Times New Roman" w:hAnsi="Times New Roman" w:cs="Times New Roman"/>
          <w:color w:val="auto"/>
          <w:lang w:val="en-US" w:eastAsia="zh-CN"/>
        </w:rPr>
        <w:t>管理费</w:t>
      </w:r>
    </w:p>
    <w:p w14:paraId="61EA3417">
      <w:pPr>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振兴升级</w:t>
      </w:r>
      <w:r>
        <w:rPr>
          <w:rFonts w:hint="eastAsia" w:ascii="Times New Roman" w:hAnsi="Times New Roman" w:cs="Times New Roman"/>
          <w:sz w:val="32"/>
          <w:szCs w:val="32"/>
          <w:lang w:val="en-US" w:eastAsia="zh-CN"/>
        </w:rPr>
        <w:t>母</w:t>
      </w:r>
      <w:r>
        <w:rPr>
          <w:rFonts w:hint="default" w:ascii="Times New Roman" w:hAnsi="Times New Roman" w:eastAsia="仿宋_GB2312" w:cs="Times New Roman"/>
          <w:sz w:val="32"/>
          <w:szCs w:val="32"/>
        </w:rPr>
        <w:t>基金</w:t>
      </w:r>
      <w:r>
        <w:rPr>
          <w:rFonts w:hint="default" w:ascii="Times New Roman" w:hAnsi="Times New Roman" w:eastAsia="仿宋_GB2312" w:cs="Times New Roman"/>
          <w:kern w:val="0"/>
          <w:sz w:val="32"/>
          <w:szCs w:val="32"/>
        </w:rPr>
        <w:t>存续期内，管理费每年按不超过基金实缴出资额的1%比例提取，基金延长期不收取管理费。具体由基金出资人与基金管理机构协商确定并在合伙协议中明确。</w:t>
      </w:r>
    </w:p>
    <w:p w14:paraId="1A3D5986">
      <w:pPr>
        <w:pageBreakBefore w:val="0"/>
        <w:widowControl w:val="0"/>
        <w:kinsoku/>
        <w:wordWrap/>
        <w:overflowPunct/>
        <w:topLinePunct w:val="0"/>
        <w:bidi w:val="0"/>
        <w:adjustRightInd w:val="0"/>
        <w:snapToGrid w:val="0"/>
        <w:spacing w:line="560" w:lineRule="exact"/>
        <w:ind w:firstLine="640"/>
        <w:textAlignment w:val="auto"/>
        <w:rPr>
          <w:rFonts w:hint="eastAsia" w:ascii="Times New Roman" w:hAnsi="Times New Roman" w:cs="Times New Roman"/>
          <w:color w:val="auto"/>
          <w:lang w:val="en-US"/>
        </w:rPr>
      </w:pPr>
      <w:r>
        <w:rPr>
          <w:rFonts w:hint="eastAsia" w:ascii="Times New Roman" w:hAnsi="Times New Roman" w:cs="Times New Roman"/>
          <w:color w:val="auto"/>
          <w:lang w:val="en-US"/>
        </w:rPr>
        <w:t>提示：鼓励</w:t>
      </w:r>
      <w:r>
        <w:rPr>
          <w:rFonts w:hint="eastAsia" w:cs="Times New Roman"/>
          <w:color w:val="auto"/>
          <w:lang w:val="en-US" w:eastAsia="zh-CN"/>
        </w:rPr>
        <w:t>申报</w:t>
      </w:r>
      <w:r>
        <w:rPr>
          <w:rFonts w:hint="eastAsia" w:ascii="Times New Roman" w:hAnsi="Times New Roman" w:cs="Times New Roman"/>
          <w:color w:val="auto"/>
          <w:lang w:val="en-US"/>
        </w:rPr>
        <w:t>机构提出</w:t>
      </w:r>
      <w:r>
        <w:rPr>
          <w:rFonts w:hint="eastAsia" w:cs="Times New Roman"/>
          <w:color w:val="auto"/>
          <w:lang w:val="en-US" w:eastAsia="zh-CN"/>
        </w:rPr>
        <w:t>具</w:t>
      </w:r>
      <w:r>
        <w:rPr>
          <w:rFonts w:hint="eastAsia" w:ascii="Times New Roman" w:hAnsi="Times New Roman" w:cs="Times New Roman"/>
          <w:color w:val="auto"/>
          <w:lang w:val="en-US"/>
        </w:rPr>
        <w:t>有竞争力的管理费率。</w:t>
      </w:r>
    </w:p>
    <w:p w14:paraId="56807767">
      <w:pPr>
        <w:pStyle w:val="3"/>
        <w:pageBreakBefore w:val="0"/>
        <w:widowControl w:val="0"/>
        <w:kinsoku/>
        <w:wordWrap/>
        <w:overflowPunct/>
        <w:topLinePunct w:val="0"/>
        <w:bidi w:val="0"/>
        <w:spacing w:line="560" w:lineRule="exac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r>
        <w:rPr>
          <w:rFonts w:hint="eastAsia" w:cs="Times New Roman"/>
          <w:color w:val="auto"/>
          <w:lang w:val="en-US" w:eastAsia="zh-CN"/>
        </w:rPr>
        <w:t>十</w:t>
      </w:r>
      <w:r>
        <w:rPr>
          <w:rFonts w:hint="eastAsia" w:ascii="Times New Roman" w:hAnsi="Times New Roman" w:cs="Times New Roman"/>
          <w:color w:val="auto"/>
          <w:lang w:val="en-US" w:eastAsia="zh-CN"/>
        </w:rPr>
        <w:t>）子基金要求</w:t>
      </w:r>
    </w:p>
    <w:p w14:paraId="38AA3734">
      <w:pPr>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振兴升级</w:t>
      </w:r>
      <w:r>
        <w:rPr>
          <w:rFonts w:hint="eastAsia" w:ascii="Times New Roman" w:hAnsi="Times New Roman" w:cs="Times New Roman"/>
          <w:sz w:val="32"/>
          <w:szCs w:val="32"/>
          <w:lang w:val="en-US" w:eastAsia="zh-CN"/>
        </w:rPr>
        <w:t>母</w:t>
      </w:r>
      <w:r>
        <w:rPr>
          <w:rFonts w:hint="default" w:ascii="Times New Roman" w:hAnsi="Times New Roman" w:eastAsia="仿宋_GB2312" w:cs="Times New Roman"/>
          <w:sz w:val="32"/>
          <w:szCs w:val="32"/>
        </w:rPr>
        <w:t>基金引导各地市共同发起设立子基金，加强与各市基金联动，形成资金合力。省内</w:t>
      </w:r>
      <w:r>
        <w:rPr>
          <w:rFonts w:hint="eastAsia" w:cs="Times New Roman"/>
          <w:sz w:val="32"/>
          <w:szCs w:val="32"/>
          <w:lang w:val="en-US" w:eastAsia="zh-CN"/>
        </w:rPr>
        <w:t>各级</w:t>
      </w:r>
      <w:r>
        <w:rPr>
          <w:rFonts w:hint="default" w:ascii="Times New Roman" w:hAnsi="Times New Roman" w:eastAsia="仿宋_GB2312" w:cs="Times New Roman"/>
          <w:sz w:val="32"/>
          <w:szCs w:val="32"/>
        </w:rPr>
        <w:t>财政资金实际出资子基金（穿透计算）的总和原则上不高于</w:t>
      </w:r>
      <w:r>
        <w:rPr>
          <w:rFonts w:hint="eastAsia" w:cs="Times New Roman"/>
          <w:sz w:val="32"/>
          <w:szCs w:val="32"/>
          <w:lang w:val="en-US" w:eastAsia="zh-CN"/>
        </w:rPr>
        <w:t>该</w:t>
      </w:r>
      <w:r>
        <w:rPr>
          <w:rFonts w:hint="default" w:ascii="Times New Roman" w:hAnsi="Times New Roman" w:eastAsia="仿宋_GB2312" w:cs="Times New Roman"/>
          <w:sz w:val="32"/>
          <w:szCs w:val="32"/>
        </w:rPr>
        <w:t>基金实缴总额的50%，与省属国有企业出资部分合并计算原则上不高于</w:t>
      </w:r>
      <w:r>
        <w:rPr>
          <w:rFonts w:hint="eastAsia" w:cs="Times New Roman"/>
          <w:sz w:val="32"/>
          <w:szCs w:val="32"/>
          <w:lang w:val="en-US" w:eastAsia="zh-CN"/>
        </w:rPr>
        <w:t>该</w:t>
      </w:r>
      <w:r>
        <w:rPr>
          <w:rFonts w:hint="default" w:ascii="Times New Roman" w:hAnsi="Times New Roman" w:eastAsia="仿宋_GB2312" w:cs="Times New Roman"/>
          <w:sz w:val="32"/>
          <w:szCs w:val="32"/>
        </w:rPr>
        <w:t>子基金实缴总额80%。</w:t>
      </w:r>
    </w:p>
    <w:p w14:paraId="27C0E7A9">
      <w:pPr>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子基金应</w:t>
      </w:r>
      <w:r>
        <w:rPr>
          <w:rFonts w:hint="default" w:ascii="Times New Roman" w:hAnsi="Times New Roman" w:eastAsia="仿宋_GB2312" w:cs="Times New Roman"/>
          <w:sz w:val="32"/>
          <w:szCs w:val="32"/>
          <w:lang w:eastAsia="zh-CN"/>
        </w:rPr>
        <w:t>重点</w:t>
      </w:r>
      <w:r>
        <w:rPr>
          <w:rFonts w:hint="default" w:ascii="Times New Roman" w:hAnsi="Times New Roman" w:eastAsia="仿宋_GB2312" w:cs="Times New Roman"/>
          <w:sz w:val="32"/>
          <w:szCs w:val="32"/>
        </w:rPr>
        <w:t>聚焦</w:t>
      </w:r>
      <w:r>
        <w:rPr>
          <w:rFonts w:hint="default" w:ascii="Times New Roman" w:hAnsi="Times New Roman" w:eastAsia="仿宋_GB2312" w:cs="Times New Roman"/>
          <w:sz w:val="32"/>
          <w:szCs w:val="32"/>
          <w:lang w:eastAsia="zh-CN"/>
        </w:rPr>
        <w:t>山西省</w:t>
      </w:r>
      <w:r>
        <w:rPr>
          <w:rFonts w:hint="default" w:ascii="Times New Roman" w:hAnsi="Times New Roman" w:eastAsia="仿宋_GB2312" w:cs="Times New Roman"/>
          <w:sz w:val="32"/>
          <w:szCs w:val="32"/>
        </w:rPr>
        <w:t>主导产业作为投资方向，原则上以直投项目方式进行投资，控制基金层级，防止多层嵌套影响政策目标实现。</w:t>
      </w:r>
    </w:p>
    <w:p w14:paraId="0382D2CF">
      <w:pPr>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子基金应严格按照《国务院办公厅关于促进政府投资基金高质量发展的指导意见》《山西省政府投资基金管理办法》相关要求设立和运作。振兴升级</w:t>
      </w:r>
      <w:r>
        <w:rPr>
          <w:rFonts w:hint="eastAsia" w:ascii="Times New Roman" w:hAnsi="Times New Roman" w:cs="Times New Roman"/>
          <w:sz w:val="32"/>
          <w:szCs w:val="32"/>
          <w:lang w:val="en-US" w:eastAsia="zh-CN"/>
        </w:rPr>
        <w:t>母</w:t>
      </w:r>
      <w:r>
        <w:rPr>
          <w:rFonts w:hint="default" w:ascii="Times New Roman" w:hAnsi="Times New Roman" w:eastAsia="仿宋_GB2312" w:cs="Times New Roman"/>
          <w:sz w:val="32"/>
          <w:szCs w:val="32"/>
        </w:rPr>
        <w:t>基金要</w:t>
      </w:r>
      <w:bookmarkStart w:id="2" w:name="_GoBack"/>
      <w:bookmarkEnd w:id="2"/>
      <w:r>
        <w:rPr>
          <w:rFonts w:hint="default" w:ascii="Times New Roman" w:hAnsi="Times New Roman" w:eastAsia="仿宋_GB2312" w:cs="Times New Roman"/>
          <w:sz w:val="32"/>
          <w:szCs w:val="32"/>
        </w:rPr>
        <w:t>加强对子基金投向、运作、财务等情况的监督，强化尽职调查责任。</w:t>
      </w:r>
    </w:p>
    <w:p w14:paraId="25562131">
      <w:pPr>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振兴升级</w:t>
      </w:r>
      <w:r>
        <w:rPr>
          <w:rFonts w:hint="eastAsia" w:ascii="Times New Roman" w:hAnsi="Times New Roman" w:cs="Times New Roman"/>
          <w:sz w:val="32"/>
          <w:szCs w:val="32"/>
          <w:lang w:val="en-US" w:eastAsia="zh-CN"/>
        </w:rPr>
        <w:t>母</w:t>
      </w:r>
      <w:r>
        <w:rPr>
          <w:rFonts w:hint="default" w:ascii="Times New Roman" w:hAnsi="Times New Roman" w:eastAsia="仿宋_GB2312" w:cs="Times New Roman"/>
          <w:sz w:val="32"/>
          <w:szCs w:val="32"/>
        </w:rPr>
        <w:t>基金管理机构负责遴选子基金管理机构，由山西金控审核后，向省地方金融管理局、省发展改革委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省工信厅、省财政厅、</w:t>
      </w:r>
      <w:r>
        <w:rPr>
          <w:rFonts w:hint="default" w:ascii="Times New Roman" w:hAnsi="Times New Roman" w:eastAsia="仿宋_GB2312" w:cs="Times New Roman"/>
          <w:sz w:val="32"/>
          <w:szCs w:val="32"/>
          <w:lang w:val="en-US" w:eastAsia="zh-CN"/>
        </w:rPr>
        <w:t>省国资委</w:t>
      </w:r>
      <w:r>
        <w:rPr>
          <w:rFonts w:hint="default" w:ascii="Times New Roman" w:hAnsi="Times New Roman" w:eastAsia="仿宋_GB2312" w:cs="Times New Roman"/>
          <w:sz w:val="32"/>
          <w:szCs w:val="32"/>
        </w:rPr>
        <w:t>备案。</w:t>
      </w:r>
    </w:p>
    <w:p w14:paraId="0BF217AF">
      <w:pPr>
        <w:pageBreakBefore w:val="0"/>
        <w:widowControl w:val="0"/>
        <w:kinsoku/>
        <w:wordWrap/>
        <w:overflowPunct/>
        <w:topLinePunct w:val="0"/>
        <w:bidi w:val="0"/>
        <w:adjustRightInd w:val="0"/>
        <w:snapToGrid w:val="0"/>
        <w:spacing w:line="560" w:lineRule="exact"/>
        <w:textAlignment w:val="auto"/>
        <w:rPr>
          <w:rFonts w:hint="eastAsia"/>
          <w:color w:val="auto"/>
          <w:kern w:val="0"/>
          <w:szCs w:val="32"/>
        </w:rPr>
      </w:pPr>
      <w:r>
        <w:rPr>
          <w:rFonts w:hint="eastAsia"/>
          <w:color w:val="auto"/>
          <w:kern w:val="0"/>
          <w:szCs w:val="32"/>
        </w:rPr>
        <w:t>子基金的存续期按照行业惯例、由子基金各出资方、子基金管理机构协商确定，但不得超过</w:t>
      </w:r>
      <w:r>
        <w:rPr>
          <w:rFonts w:hint="eastAsia"/>
          <w:color w:val="auto"/>
          <w:szCs w:val="32"/>
        </w:rPr>
        <w:t>振兴升级</w:t>
      </w:r>
      <w:r>
        <w:rPr>
          <w:rFonts w:hint="eastAsia"/>
          <w:color w:val="auto"/>
          <w:szCs w:val="32"/>
          <w:lang w:val="en-US" w:eastAsia="zh-CN"/>
        </w:rPr>
        <w:t>母</w:t>
      </w:r>
      <w:r>
        <w:rPr>
          <w:rFonts w:hint="eastAsia"/>
          <w:color w:val="auto"/>
          <w:szCs w:val="32"/>
        </w:rPr>
        <w:t>基金期限</w:t>
      </w:r>
      <w:r>
        <w:rPr>
          <w:rFonts w:hint="eastAsia"/>
          <w:color w:val="auto"/>
          <w:kern w:val="0"/>
          <w:szCs w:val="32"/>
        </w:rPr>
        <w:t>。</w:t>
      </w:r>
    </w:p>
    <w:p w14:paraId="21C142A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kern w:val="0"/>
          <w:sz w:val="32"/>
          <w:szCs w:val="32"/>
        </w:rPr>
      </w:pPr>
      <w:r>
        <w:rPr>
          <w:rFonts w:hint="eastAsia"/>
          <w:color w:val="auto"/>
          <w:kern w:val="0"/>
          <w:szCs w:val="32"/>
        </w:rPr>
        <w:t>子基金在存续期内，</w:t>
      </w:r>
      <w:r>
        <w:rPr>
          <w:rFonts w:hint="default" w:ascii="Times New Roman" w:hAnsi="Times New Roman" w:eastAsia="仿宋_GB2312" w:cs="Times New Roman"/>
          <w:kern w:val="0"/>
          <w:sz w:val="32"/>
          <w:szCs w:val="32"/>
        </w:rPr>
        <w:t>管理费每年按不超过子基金实缴出资额的2%比例提取，延长期不收取管理费。具体由子基金出资人与子基金管理机构协商确定并在章程或协议中予以明确。</w:t>
      </w:r>
    </w:p>
    <w:p w14:paraId="3EA030B6">
      <w:pPr>
        <w:pageBreakBefore w:val="0"/>
        <w:widowControl w:val="0"/>
        <w:kinsoku/>
        <w:wordWrap/>
        <w:overflowPunct/>
        <w:topLinePunct w:val="0"/>
        <w:bidi w:val="0"/>
        <w:adjustRightInd w:val="0"/>
        <w:snapToGrid w:val="0"/>
        <w:spacing w:line="560" w:lineRule="exact"/>
        <w:textAlignment w:val="auto"/>
        <w:rPr>
          <w:rFonts w:hint="eastAsia" w:ascii="Times New Roman" w:hAnsi="Times New Roman" w:eastAsia="楷体_GB2312" w:cs="Times New Roman"/>
          <w:color w:val="auto"/>
          <w:lang w:val="en-US"/>
        </w:rPr>
      </w:pPr>
      <w:r>
        <w:rPr>
          <w:rFonts w:hint="eastAsia" w:ascii="Times New Roman" w:hAnsi="Times New Roman" w:eastAsia="楷体_GB2312" w:cs="Times New Roman"/>
          <w:color w:val="auto"/>
          <w:lang w:val="en-US"/>
        </w:rPr>
        <w:t>（</w:t>
      </w:r>
      <w:r>
        <w:rPr>
          <w:rFonts w:hint="eastAsia" w:eastAsia="楷体_GB2312" w:cs="Times New Roman"/>
          <w:color w:val="auto"/>
          <w:lang w:val="en-US" w:eastAsia="zh-CN"/>
        </w:rPr>
        <w:t>十一</w:t>
      </w:r>
      <w:r>
        <w:rPr>
          <w:rFonts w:hint="eastAsia" w:ascii="Times New Roman" w:hAnsi="Times New Roman" w:eastAsia="楷体_GB2312" w:cs="Times New Roman"/>
          <w:color w:val="auto"/>
          <w:lang w:val="en-US"/>
        </w:rPr>
        <w:t>）收益分配</w:t>
      </w:r>
    </w:p>
    <w:p w14:paraId="53E90EEC">
      <w:pPr>
        <w:pageBreakBefore w:val="0"/>
        <w:widowControl w:val="0"/>
        <w:kinsoku/>
        <w:wordWrap/>
        <w:overflowPunct/>
        <w:topLinePunct w:val="0"/>
        <w:bidi w:val="0"/>
        <w:spacing w:line="560" w:lineRule="exact"/>
        <w:textAlignment w:val="auto"/>
        <w:rPr>
          <w:rFonts w:hint="eastAsia" w:ascii="Times New Roman" w:hAnsi="Times New Roman" w:cs="Times New Roman"/>
          <w:color w:val="auto"/>
          <w:lang w:val="en-US"/>
        </w:rPr>
      </w:pPr>
      <w:r>
        <w:rPr>
          <w:rFonts w:hint="eastAsia" w:ascii="Times New Roman" w:hAnsi="Times New Roman" w:cs="Times New Roman"/>
          <w:color w:val="auto"/>
          <w:lang w:val="en-US"/>
        </w:rPr>
        <w:t>振兴升级</w:t>
      </w:r>
      <w:r>
        <w:rPr>
          <w:rFonts w:hint="eastAsia" w:cs="Times New Roman"/>
          <w:color w:val="auto"/>
          <w:lang w:val="en-US" w:eastAsia="zh-CN"/>
        </w:rPr>
        <w:t>母</w:t>
      </w:r>
      <w:r>
        <w:rPr>
          <w:rFonts w:hint="eastAsia" w:ascii="Times New Roman" w:hAnsi="Times New Roman" w:cs="Times New Roman"/>
          <w:color w:val="auto"/>
          <w:lang w:val="en-US"/>
        </w:rPr>
        <w:t>基金收益分配原则上采取整体先回本后分利方式，投资收益先按照各出资人实缴出资比例分配，直至各出资人收回全部实缴出资，剩余的投资收益再按照合伙协议约定方式予以分配。</w:t>
      </w:r>
    </w:p>
    <w:p w14:paraId="22799773">
      <w:pPr>
        <w:pageBreakBefore w:val="0"/>
        <w:widowControl w:val="0"/>
        <w:kinsoku/>
        <w:wordWrap/>
        <w:overflowPunct/>
        <w:topLinePunct w:val="0"/>
        <w:bidi w:val="0"/>
        <w:adjustRightInd w:val="0"/>
        <w:snapToGrid w:val="0"/>
        <w:spacing w:line="560" w:lineRule="exact"/>
        <w:ind w:firstLine="640"/>
        <w:textAlignment w:val="auto"/>
        <w:rPr>
          <w:rFonts w:hint="eastAsia" w:ascii="Times New Roman" w:hAnsi="Times New Roman" w:cs="Times New Roman"/>
          <w:color w:val="auto"/>
          <w:lang w:val="en-US"/>
        </w:rPr>
      </w:pPr>
      <w:r>
        <w:rPr>
          <w:rFonts w:hint="eastAsia" w:ascii="Times New Roman" w:hAnsi="Times New Roman" w:cs="Times New Roman"/>
          <w:color w:val="auto"/>
          <w:lang w:val="en-US"/>
        </w:rPr>
        <w:t>提示：鼓励</w:t>
      </w:r>
      <w:r>
        <w:rPr>
          <w:rFonts w:hint="eastAsia" w:cs="Times New Roman"/>
          <w:color w:val="auto"/>
          <w:lang w:val="en-US" w:eastAsia="zh-CN"/>
        </w:rPr>
        <w:t>申报</w:t>
      </w:r>
      <w:r>
        <w:rPr>
          <w:rFonts w:hint="eastAsia" w:ascii="Times New Roman" w:hAnsi="Times New Roman" w:cs="Times New Roman"/>
          <w:color w:val="auto"/>
          <w:lang w:val="en-US"/>
        </w:rPr>
        <w:t>机构提出</w:t>
      </w:r>
      <w:r>
        <w:rPr>
          <w:rFonts w:hint="eastAsia" w:cs="Times New Roman"/>
          <w:color w:val="auto"/>
          <w:lang w:val="en-US" w:eastAsia="zh-CN"/>
        </w:rPr>
        <w:t>包括门槛收益率在内的具有</w:t>
      </w:r>
      <w:r>
        <w:rPr>
          <w:rFonts w:hint="eastAsia" w:ascii="Times New Roman" w:hAnsi="Times New Roman" w:cs="Times New Roman"/>
          <w:color w:val="auto"/>
          <w:lang w:val="en-US"/>
        </w:rPr>
        <w:t>竞争力的具体收益分配方式。</w:t>
      </w:r>
    </w:p>
    <w:p w14:paraId="2DB3EEBF">
      <w:pPr>
        <w:pageBreakBefore w:val="0"/>
        <w:widowControl w:val="0"/>
        <w:kinsoku/>
        <w:wordWrap/>
        <w:overflowPunct/>
        <w:topLinePunct w:val="0"/>
        <w:bidi w:val="0"/>
        <w:adjustRightInd w:val="0"/>
        <w:snapToGrid w:val="0"/>
        <w:spacing w:line="560" w:lineRule="exact"/>
        <w:textAlignment w:val="auto"/>
        <w:rPr>
          <w:rFonts w:hint="eastAsia" w:ascii="Times New Roman" w:hAnsi="Times New Roman" w:eastAsia="楷体_GB2312" w:cs="Times New Roman"/>
          <w:color w:val="auto"/>
          <w:lang w:val="en-US"/>
        </w:rPr>
      </w:pPr>
      <w:r>
        <w:rPr>
          <w:rFonts w:hint="eastAsia" w:ascii="Times New Roman" w:hAnsi="Times New Roman" w:eastAsia="楷体_GB2312" w:cs="Times New Roman"/>
          <w:color w:val="auto"/>
          <w:lang w:val="en-US"/>
        </w:rPr>
        <w:t>（</w:t>
      </w:r>
      <w:r>
        <w:rPr>
          <w:rFonts w:hint="eastAsia" w:ascii="Times New Roman" w:hAnsi="Times New Roman" w:eastAsia="楷体_GB2312" w:cs="Times New Roman"/>
          <w:color w:val="auto"/>
          <w:lang w:val="en-US" w:eastAsia="zh-CN"/>
        </w:rPr>
        <w:t>十</w:t>
      </w:r>
      <w:r>
        <w:rPr>
          <w:rFonts w:hint="eastAsia" w:eastAsia="楷体_GB2312" w:cs="Times New Roman"/>
          <w:color w:val="auto"/>
          <w:lang w:val="en-US" w:eastAsia="zh-CN"/>
        </w:rPr>
        <w:t>二</w:t>
      </w:r>
      <w:r>
        <w:rPr>
          <w:rFonts w:hint="eastAsia" w:ascii="Times New Roman" w:hAnsi="Times New Roman" w:eastAsia="楷体_GB2312" w:cs="Times New Roman"/>
          <w:color w:val="auto"/>
          <w:lang w:val="en-US"/>
        </w:rPr>
        <w:t>）容错机制</w:t>
      </w:r>
    </w:p>
    <w:p w14:paraId="5F2EF0A9">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theme="minorBidi"/>
          <w:color w:val="auto"/>
          <w:sz w:val="32"/>
          <w:szCs w:val="32"/>
          <w:shd w:val="clear"/>
          <w:lang w:val="en-US" w:eastAsia="zh-CN"/>
        </w:rPr>
      </w:pPr>
      <w:r>
        <w:rPr>
          <w:rFonts w:hint="eastAsia" w:ascii="仿宋_GB2312" w:hAnsi="仿宋_GB2312" w:cstheme="minorBidi"/>
          <w:color w:val="auto"/>
          <w:sz w:val="32"/>
          <w:szCs w:val="32"/>
          <w:shd w:val="clear"/>
          <w:lang w:val="en-US" w:eastAsia="zh-CN"/>
        </w:rPr>
        <w:t>对振兴升级母基金的投资运营，遵循市场规律，以振兴升级母基金整体作为评价依据，不简单以单个项目或单一年度盈亏作为考核依据。根据《国务院办公厅关于促进政府投资基金高质量发展的指导意见》《山西省政府投资基金管理办法》，建立投资损失容错机制，不对正常投资风险进行追责。对依法合规、决策程序透明、已履职尽责、因政策变动及其他不可抗力因素等导致项目投资失败或损失，未能实现预期目标且未谋取私利的，视具体情况容错免责。根据《山西省政府投资基金管理办法》配套的容错实施细则执行。</w:t>
      </w:r>
    </w:p>
    <w:p w14:paraId="67C2C7A9">
      <w:pPr>
        <w:pageBreakBefore w:val="0"/>
        <w:widowControl w:val="0"/>
        <w:kinsoku/>
        <w:wordWrap/>
        <w:overflowPunct/>
        <w:topLinePunct w:val="0"/>
        <w:bidi w:val="0"/>
        <w:adjustRightInd w:val="0"/>
        <w:snapToGrid w:val="0"/>
        <w:spacing w:line="560" w:lineRule="exact"/>
        <w:textAlignment w:val="auto"/>
        <w:rPr>
          <w:rFonts w:hint="eastAsia" w:ascii="Times New Roman" w:hAnsi="Times New Roman" w:eastAsia="楷体_GB2312" w:cs="Times New Roman"/>
          <w:color w:val="auto"/>
          <w:lang w:val="en-US"/>
        </w:rPr>
      </w:pPr>
      <w:r>
        <w:rPr>
          <w:rFonts w:hint="eastAsia" w:ascii="Times New Roman" w:hAnsi="Times New Roman" w:eastAsia="楷体_GB2312" w:cs="Times New Roman"/>
          <w:color w:val="auto"/>
          <w:lang w:val="en-US"/>
        </w:rPr>
        <w:t>（十</w:t>
      </w:r>
      <w:r>
        <w:rPr>
          <w:rFonts w:hint="eastAsia" w:eastAsia="楷体_GB2312" w:cs="Times New Roman"/>
          <w:color w:val="auto"/>
          <w:lang w:val="en-US" w:eastAsia="zh-CN"/>
        </w:rPr>
        <w:t>三</w:t>
      </w:r>
      <w:r>
        <w:rPr>
          <w:rFonts w:hint="eastAsia" w:ascii="Times New Roman" w:hAnsi="Times New Roman" w:eastAsia="楷体_GB2312" w:cs="Times New Roman"/>
          <w:color w:val="auto"/>
          <w:lang w:val="en-US"/>
        </w:rPr>
        <w:t>）绩效评价</w:t>
      </w:r>
    </w:p>
    <w:p w14:paraId="0224A4F6">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rPr>
        <w:t>构建科学化、差异化、可量化的绩效指标体系，重点关注政策目标综合实现情况，对基金实施全过程绩效管理，科学合理设置绩效目标。综合采取调整管理费、超额收益分配等措施加强绩效评价结果应用，强化激励约束。</w:t>
      </w:r>
    </w:p>
    <w:p w14:paraId="64A3447C">
      <w:pPr>
        <w:pStyle w:val="2"/>
        <w:bidi w:val="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二、申报要求</w:t>
      </w:r>
    </w:p>
    <w:p w14:paraId="66874341">
      <w:pPr>
        <w:pStyle w:val="3"/>
        <w:bidi w:val="0"/>
        <w:rPr>
          <w:rFonts w:hint="eastAsia" w:ascii="Times New Roman" w:hAnsi="Times New Roman" w:cs="Times New Roman"/>
          <w:color w:val="auto"/>
          <w:lang w:val="en-US"/>
        </w:rPr>
      </w:pPr>
      <w:r>
        <w:rPr>
          <w:rFonts w:hint="eastAsia" w:ascii="Times New Roman" w:hAnsi="Times New Roman" w:cs="Times New Roman"/>
          <w:color w:val="auto"/>
          <w:lang w:val="en-US"/>
        </w:rPr>
        <w:t>（一）基本要求</w:t>
      </w:r>
    </w:p>
    <w:p w14:paraId="24D3E442">
      <w:pPr>
        <w:adjustRightInd w:val="0"/>
        <w:snapToGrid w:val="0"/>
        <w:spacing w:line="560" w:lineRule="exact"/>
        <w:ind w:firstLine="640"/>
        <w:rPr>
          <w:rFonts w:hint="eastAsia" w:cs="Times New Roman"/>
          <w:color w:val="auto"/>
          <w:lang w:val="en-US" w:eastAsia="zh-CN"/>
        </w:rPr>
      </w:pPr>
      <w:r>
        <w:rPr>
          <w:rFonts w:hint="eastAsia" w:cs="Times New Roman"/>
          <w:color w:val="auto"/>
          <w:lang w:val="en-US" w:eastAsia="zh-CN"/>
        </w:rPr>
        <w:t>1.申报机构要熟悉国家及山西的产业政策，对山西的优势及产业发展有深入研究和深刻洞见，能够精准把握政策导向与产业脉搏，为山西产业高质量发展提供契合实际、科学可行的投资管理方案与战略支撑。</w:t>
      </w:r>
    </w:p>
    <w:p w14:paraId="15B660DD">
      <w:pPr>
        <w:adjustRightInd w:val="0"/>
        <w:snapToGrid w:val="0"/>
        <w:spacing w:line="560" w:lineRule="exact"/>
        <w:ind w:firstLine="640"/>
        <w:rPr>
          <w:rFonts w:hint="eastAsia" w:cs="Times New Roman"/>
          <w:color w:val="auto"/>
          <w:lang w:val="en-US" w:eastAsia="zh-CN"/>
        </w:rPr>
      </w:pPr>
      <w:r>
        <w:rPr>
          <w:rFonts w:hint="eastAsia" w:cs="Times New Roman"/>
          <w:color w:val="auto"/>
          <w:lang w:val="en-US" w:eastAsia="zh-CN"/>
        </w:rPr>
        <w:t>2.申报机构要具有较强的与山西相匹配的产业资源储备，具备产业上下游资源整合的能力，能够有效的支持山西传统产业升级和战略性新兴产业培育。</w:t>
      </w:r>
    </w:p>
    <w:p w14:paraId="245CC083">
      <w:pPr>
        <w:adjustRightInd w:val="0"/>
        <w:snapToGrid w:val="0"/>
        <w:spacing w:line="560" w:lineRule="exact"/>
        <w:ind w:firstLine="640"/>
        <w:rPr>
          <w:rFonts w:hint="eastAsia" w:cs="Times New Roman"/>
          <w:color w:val="auto"/>
          <w:lang w:val="en-US" w:eastAsia="zh-CN"/>
        </w:rPr>
      </w:pPr>
      <w:r>
        <w:rPr>
          <w:rFonts w:hint="eastAsia" w:cs="Times New Roman"/>
          <w:color w:val="auto"/>
          <w:lang w:val="en-US" w:eastAsia="zh-CN"/>
        </w:rPr>
        <w:t>3.申报机构需具备覆盖产业全周期的投资管理经验，拥有从早期“投早投小”、到中期“投长投稳”、再到后期“投链投群”的各阶段项目的丰富投资经验，通过全周期资源整合与战略布局，形成产业集群效应，切实提升区域产业整体竞争力与协同发展水平。</w:t>
      </w:r>
    </w:p>
    <w:p w14:paraId="6E91BEFE">
      <w:pPr>
        <w:adjustRightInd w:val="0"/>
        <w:snapToGrid w:val="0"/>
        <w:spacing w:line="560" w:lineRule="exact"/>
        <w:ind w:firstLine="640"/>
        <w:rPr>
          <w:rFonts w:hint="eastAsia" w:cs="Times New Roman"/>
          <w:color w:val="auto"/>
          <w:highlight w:val="none"/>
          <w:lang w:val="en-US" w:eastAsia="zh-CN"/>
        </w:rPr>
      </w:pPr>
      <w:r>
        <w:rPr>
          <w:rFonts w:hint="eastAsia" w:cs="Times New Roman"/>
          <w:color w:val="auto"/>
          <w:highlight w:val="none"/>
          <w:lang w:val="en-US" w:eastAsia="zh-CN"/>
        </w:rPr>
        <w:t>4.申报机构在其他地区有成功培育产业集群的实际案例，具有在推动产业发展、促进产业聚集方面的能力。</w:t>
      </w:r>
    </w:p>
    <w:p w14:paraId="6A8F2AB4">
      <w:pPr>
        <w:adjustRightInd w:val="0"/>
        <w:snapToGrid w:val="0"/>
        <w:spacing w:line="560" w:lineRule="exact"/>
        <w:ind w:firstLine="640"/>
        <w:rPr>
          <w:rFonts w:hint="eastAsia" w:ascii="Times New Roman" w:hAnsi="Times New Roman" w:cs="Times New Roman"/>
          <w:color w:val="auto"/>
          <w:lang w:val="en-US"/>
        </w:rPr>
      </w:pPr>
      <w:r>
        <w:rPr>
          <w:rFonts w:hint="eastAsia" w:cs="Times New Roman"/>
          <w:color w:val="auto"/>
          <w:lang w:val="en-US" w:eastAsia="zh-CN"/>
        </w:rPr>
        <w:t>5</w:t>
      </w:r>
      <w:r>
        <w:rPr>
          <w:rFonts w:hint="eastAsia" w:ascii="Times New Roman" w:hAnsi="Times New Roman" w:cs="Times New Roman"/>
          <w:color w:val="auto"/>
          <w:lang w:val="en-US"/>
        </w:rPr>
        <w:t>.</w:t>
      </w:r>
      <w:r>
        <w:rPr>
          <w:rFonts w:hint="eastAsia" w:ascii="Times New Roman" w:hAnsi="Times New Roman" w:cs="Times New Roman"/>
          <w:color w:val="auto"/>
          <w:lang w:val="en-US" w:eastAsia="zh-CN"/>
        </w:rPr>
        <w:t>申报机构</w:t>
      </w:r>
      <w:r>
        <w:rPr>
          <w:rFonts w:hint="eastAsia" w:ascii="Times New Roman" w:hAnsi="Times New Roman" w:cs="Times New Roman"/>
          <w:color w:val="auto"/>
          <w:lang w:val="en-US"/>
        </w:rPr>
        <w:t>实缴注册资本不低于</w:t>
      </w:r>
      <w:r>
        <w:rPr>
          <w:rFonts w:hint="eastAsia" w:cs="Times New Roman"/>
          <w:color w:val="auto"/>
          <w:lang w:val="en-US" w:eastAsia="zh-CN"/>
        </w:rPr>
        <w:t>1</w:t>
      </w:r>
      <w:r>
        <w:rPr>
          <w:rFonts w:hint="default" w:ascii="Times New Roman" w:hAnsi="Times New Roman" w:cs="Times New Roman"/>
          <w:color w:val="auto"/>
          <w:lang w:val="en-US"/>
        </w:rPr>
        <w:t>000</w:t>
      </w:r>
      <w:r>
        <w:rPr>
          <w:rFonts w:hint="eastAsia" w:ascii="Times New Roman" w:hAnsi="Times New Roman" w:cs="Times New Roman"/>
          <w:color w:val="auto"/>
          <w:lang w:val="en-US"/>
        </w:rPr>
        <w:t>万元。</w:t>
      </w:r>
    </w:p>
    <w:p w14:paraId="70D703C6">
      <w:pPr>
        <w:adjustRightInd w:val="0"/>
        <w:snapToGrid w:val="0"/>
        <w:spacing w:line="560" w:lineRule="exact"/>
        <w:ind w:firstLine="640"/>
        <w:rPr>
          <w:rFonts w:hAnsi="Calibri"/>
          <w:color w:val="auto"/>
          <w:kern w:val="2"/>
          <w:szCs w:val="32"/>
          <w:shd w:val="clear" w:color="auto" w:fill="FFFFFF"/>
          <w:lang w:val="en-US" w:bidi="ar-SA"/>
        </w:rPr>
      </w:pPr>
      <w:r>
        <w:rPr>
          <w:rFonts w:hint="eastAsia" w:hAnsi="Calibri"/>
          <w:color w:val="auto"/>
          <w:kern w:val="2"/>
          <w:szCs w:val="32"/>
          <w:shd w:val="clear" w:color="auto" w:fill="FFFFFF"/>
          <w:lang w:val="en-US" w:eastAsia="zh-CN" w:bidi="ar-SA"/>
        </w:rPr>
        <w:t>6</w:t>
      </w:r>
      <w:r>
        <w:rPr>
          <w:rFonts w:hint="eastAsia" w:hAnsi="Calibri"/>
          <w:color w:val="auto"/>
          <w:kern w:val="2"/>
          <w:szCs w:val="32"/>
          <w:shd w:val="clear" w:color="auto" w:fill="FFFFFF"/>
          <w:lang w:val="en-US" w:bidi="ar-SA"/>
        </w:rPr>
        <w:t>.</w:t>
      </w:r>
      <w:r>
        <w:rPr>
          <w:rFonts w:hint="eastAsia" w:hAnsi="Calibri"/>
          <w:color w:val="auto"/>
          <w:kern w:val="2"/>
          <w:szCs w:val="32"/>
          <w:shd w:val="clear" w:color="auto" w:fill="FFFFFF"/>
          <w:lang w:val="en-US" w:eastAsia="zh-CN" w:bidi="ar-SA"/>
        </w:rPr>
        <w:t>申报机构（不包含关联方）在</w:t>
      </w:r>
      <w:r>
        <w:rPr>
          <w:rFonts w:hint="eastAsia" w:cs="Times New Roman"/>
          <w:color w:val="auto"/>
          <w:lang w:val="en-US" w:eastAsia="zh-CN"/>
        </w:rPr>
        <w:t>中国证券投资基金业协会（以下简称“中基协”）</w:t>
      </w:r>
      <w:r>
        <w:rPr>
          <w:rFonts w:hint="eastAsia" w:hAnsi="Calibri"/>
          <w:color w:val="auto"/>
          <w:kern w:val="2"/>
          <w:szCs w:val="32"/>
          <w:shd w:val="clear" w:color="auto" w:fill="FFFFFF"/>
          <w:lang w:val="en-US" w:eastAsia="zh-CN" w:bidi="ar-SA"/>
        </w:rPr>
        <w:t>私募基金管理人公示信息中取得基金从业人员不少于</w:t>
      </w:r>
      <w:r>
        <w:rPr>
          <w:rFonts w:hint="eastAsia" w:cs="Times New Roman"/>
          <w:color w:val="auto"/>
          <w:kern w:val="2"/>
          <w:szCs w:val="32"/>
          <w:shd w:val="clear" w:color="auto" w:fill="FFFFFF"/>
          <w:lang w:val="en-US" w:eastAsia="zh-CN" w:bidi="ar-SA"/>
        </w:rPr>
        <w:t>15</w:t>
      </w:r>
      <w:r>
        <w:rPr>
          <w:rFonts w:hint="eastAsia" w:hAnsi="Calibri"/>
          <w:color w:val="auto"/>
          <w:kern w:val="2"/>
          <w:szCs w:val="32"/>
          <w:shd w:val="clear" w:color="auto" w:fill="FFFFFF"/>
          <w:lang w:val="en-US" w:eastAsia="zh-CN" w:bidi="ar-SA"/>
        </w:rPr>
        <w:t>人，具有稳定管理团队</w:t>
      </w:r>
      <w:r>
        <w:rPr>
          <w:rFonts w:hint="eastAsia" w:hAnsi="Calibri"/>
          <w:color w:val="auto"/>
          <w:kern w:val="2"/>
          <w:szCs w:val="32"/>
          <w:shd w:val="clear" w:color="auto" w:fill="FFFFFF"/>
          <w:lang w:val="en-US" w:bidi="ar-SA"/>
        </w:rPr>
        <w:t>。</w:t>
      </w:r>
    </w:p>
    <w:p w14:paraId="00C33E3F">
      <w:pPr>
        <w:bidi w:val="0"/>
        <w:rPr>
          <w:rFonts w:hint="eastAsia" w:ascii="Times New Roman" w:hAnsi="Times New Roman" w:cs="Times New Roman"/>
          <w:color w:val="auto"/>
          <w:lang w:val="en-US"/>
        </w:rPr>
      </w:pPr>
      <w:r>
        <w:rPr>
          <w:rFonts w:hint="eastAsia" w:cs="Times New Roman"/>
          <w:color w:val="auto"/>
          <w:lang w:val="en-US" w:eastAsia="zh-CN"/>
        </w:rPr>
        <w:t>7.申报机构未被中基协列为异常机构且不存在不良诚信记录等情形；申报机构及其工作人员无被行政主管机关或司法机关处罚的不良记录。</w:t>
      </w:r>
    </w:p>
    <w:p w14:paraId="00227610">
      <w:pPr>
        <w:bidi w:val="0"/>
        <w:rPr>
          <w:rFonts w:hint="eastAsia" w:cs="Times New Roman"/>
          <w:color w:val="auto"/>
          <w:lang w:val="en-US" w:eastAsia="zh-CN"/>
        </w:rPr>
      </w:pPr>
      <w:r>
        <w:rPr>
          <w:rFonts w:hint="eastAsia" w:cs="Times New Roman"/>
          <w:color w:val="auto"/>
          <w:lang w:val="en-US" w:eastAsia="zh-CN"/>
        </w:rPr>
        <w:t>8.具有相匹配的基金管理经验。申报机构（不包含关联方）或核心成员</w:t>
      </w:r>
      <w:r>
        <w:rPr>
          <w:rFonts w:hint="eastAsia" w:hAnsi="Calibri"/>
          <w:color w:val="auto"/>
          <w:kern w:val="2"/>
          <w:szCs w:val="32"/>
          <w:highlight w:val="none"/>
          <w:shd w:val="clear" w:color="auto" w:fill="FFFFFF"/>
          <w:lang w:val="en-US" w:eastAsia="zh-CN" w:bidi="ar-SA"/>
        </w:rPr>
        <w:t>累计管理的基金产品不少于5只，</w:t>
      </w:r>
      <w:r>
        <w:rPr>
          <w:rFonts w:hint="eastAsia" w:cs="Times New Roman"/>
          <w:color w:val="auto"/>
          <w:lang w:val="en-US" w:eastAsia="zh-CN"/>
        </w:rPr>
        <w:t>历史管理基金实缴规模不低于50亿元。</w:t>
      </w:r>
    </w:p>
    <w:p w14:paraId="0697E764">
      <w:pPr>
        <w:adjustRightInd w:val="0"/>
        <w:snapToGrid w:val="0"/>
        <w:spacing w:line="560" w:lineRule="exact"/>
        <w:ind w:firstLine="640"/>
        <w:rPr>
          <w:rFonts w:hint="eastAsia" w:ascii="Times New Roman" w:hAnsi="Times New Roman" w:cs="Times New Roman"/>
          <w:color w:val="auto"/>
          <w:kern w:val="2"/>
          <w:szCs w:val="32"/>
          <w:shd w:val="clear" w:color="auto" w:fill="FFFFFF"/>
          <w:lang w:val="en-US" w:bidi="ar-SA"/>
        </w:rPr>
      </w:pPr>
      <w:r>
        <w:rPr>
          <w:rFonts w:hint="eastAsia" w:cs="Times New Roman"/>
          <w:color w:val="auto"/>
          <w:lang w:val="en-US" w:eastAsia="zh-CN"/>
        </w:rPr>
        <w:t>9</w:t>
      </w:r>
      <w:r>
        <w:rPr>
          <w:rFonts w:hint="eastAsia" w:ascii="Times New Roman" w:hAnsi="Times New Roman" w:cs="Times New Roman"/>
          <w:color w:val="auto"/>
          <w:lang w:val="en-US"/>
        </w:rPr>
        <w:t>.有完善的股权投资管理和风险控制流程、规范的项目筛选机制和投资决策机制、健全的内部财务管理制度</w:t>
      </w:r>
      <w:r>
        <w:rPr>
          <w:rFonts w:hint="eastAsia" w:ascii="Times New Roman" w:hAnsi="Times New Roman" w:cs="Times New Roman"/>
          <w:color w:val="auto"/>
          <w:kern w:val="2"/>
          <w:szCs w:val="32"/>
          <w:shd w:val="clear" w:color="auto" w:fill="FFFFFF"/>
          <w:lang w:val="en-US" w:bidi="ar-SA"/>
        </w:rPr>
        <w:t>。</w:t>
      </w:r>
    </w:p>
    <w:p w14:paraId="102C4840">
      <w:pPr>
        <w:adjustRightInd w:val="0"/>
        <w:snapToGrid w:val="0"/>
        <w:spacing w:line="560" w:lineRule="exact"/>
        <w:ind w:firstLine="640"/>
        <w:rPr>
          <w:rFonts w:hint="eastAsia" w:hAnsi="Calibri" w:eastAsia="仿宋_GB2312"/>
          <w:color w:val="auto"/>
          <w:kern w:val="2"/>
          <w:szCs w:val="32"/>
          <w:shd w:val="clear" w:color="auto" w:fill="FFFFFF"/>
          <w:lang w:val="en-US" w:eastAsia="zh-CN" w:bidi="ar-SA"/>
        </w:rPr>
      </w:pPr>
      <w:r>
        <w:rPr>
          <w:rFonts w:hint="eastAsia" w:hAnsi="Calibri"/>
          <w:color w:val="auto"/>
          <w:kern w:val="2"/>
          <w:szCs w:val="32"/>
          <w:shd w:val="clear" w:color="auto" w:fill="FFFFFF"/>
          <w:lang w:val="en-US" w:eastAsia="zh-CN" w:bidi="ar-SA"/>
        </w:rPr>
        <w:t>10</w:t>
      </w:r>
      <w:r>
        <w:rPr>
          <w:rFonts w:hint="eastAsia" w:hAnsi="Calibri"/>
          <w:color w:val="auto"/>
          <w:kern w:val="2"/>
          <w:szCs w:val="32"/>
          <w:shd w:val="clear" w:color="auto" w:fill="FFFFFF"/>
          <w:lang w:val="en-US" w:bidi="ar-SA"/>
        </w:rPr>
        <w:t>.具有相匹配的投资管理经验和优质项目储备</w:t>
      </w:r>
      <w:r>
        <w:rPr>
          <w:rFonts w:hint="eastAsia" w:hAnsi="Calibri"/>
          <w:color w:val="auto"/>
          <w:kern w:val="2"/>
          <w:szCs w:val="32"/>
          <w:shd w:val="clear" w:color="auto" w:fill="FFFFFF"/>
          <w:lang w:val="en-US" w:eastAsia="zh-CN" w:bidi="ar-SA"/>
        </w:rPr>
        <w:t>，同时满足以下条件：</w:t>
      </w:r>
    </w:p>
    <w:p w14:paraId="5070E22C">
      <w:pPr>
        <w:adjustRightInd w:val="0"/>
        <w:snapToGrid w:val="0"/>
        <w:spacing w:line="560" w:lineRule="exact"/>
        <w:ind w:firstLine="640"/>
        <w:rPr>
          <w:rFonts w:hint="eastAsia" w:hAnsi="Calibri"/>
          <w:color w:val="auto"/>
          <w:kern w:val="2"/>
          <w:szCs w:val="32"/>
          <w:highlight w:val="none"/>
          <w:shd w:val="clear" w:color="auto" w:fill="FFFFFF"/>
          <w:lang w:val="en-US" w:eastAsia="zh-CN" w:bidi="ar-SA"/>
        </w:rPr>
      </w:pPr>
      <w:r>
        <w:rPr>
          <w:rFonts w:hint="eastAsia" w:hAnsi="Calibri"/>
          <w:color w:val="auto"/>
          <w:kern w:val="2"/>
          <w:szCs w:val="32"/>
          <w:shd w:val="clear" w:color="auto" w:fill="FFFFFF"/>
          <w:lang w:val="en-US" w:eastAsia="zh-CN" w:bidi="ar-SA"/>
        </w:rPr>
        <w:t>（1）申报</w:t>
      </w:r>
      <w:r>
        <w:rPr>
          <w:rFonts w:hint="eastAsia" w:hAnsi="Calibri"/>
          <w:color w:val="auto"/>
          <w:kern w:val="2"/>
          <w:szCs w:val="32"/>
          <w:shd w:val="clear" w:color="auto" w:fill="FFFFFF"/>
          <w:lang w:val="en-US" w:bidi="ar-SA"/>
        </w:rPr>
        <w:t>机构至少有</w:t>
      </w:r>
      <w:r>
        <w:rPr>
          <w:rFonts w:hint="default" w:ascii="Times New Roman" w:hAnsi="Times New Roman" w:cs="Times New Roman"/>
          <w:color w:val="auto"/>
          <w:kern w:val="2"/>
          <w:sz w:val="32"/>
          <w:szCs w:val="32"/>
          <w:shd w:val="clear" w:color="auto" w:fill="FFFFFF"/>
          <w:lang w:val="en-US" w:bidi="ar-SA"/>
        </w:rPr>
        <w:t>3</w:t>
      </w:r>
      <w:r>
        <w:rPr>
          <w:rFonts w:hint="eastAsia" w:hAnsi="Calibri"/>
          <w:color w:val="auto"/>
          <w:kern w:val="2"/>
          <w:szCs w:val="32"/>
          <w:shd w:val="clear" w:color="auto" w:fill="FFFFFF"/>
          <w:lang w:val="en-US" w:bidi="ar-SA"/>
        </w:rPr>
        <w:t>名具备</w:t>
      </w:r>
      <w:r>
        <w:rPr>
          <w:rFonts w:hint="eastAsia" w:cs="Times New Roman"/>
          <w:color w:val="auto"/>
          <w:kern w:val="2"/>
          <w:sz w:val="32"/>
          <w:szCs w:val="32"/>
          <w:shd w:val="clear" w:color="auto" w:fill="FFFFFF"/>
          <w:lang w:val="en-US" w:eastAsia="zh-CN" w:bidi="ar-SA"/>
        </w:rPr>
        <w:t>5</w:t>
      </w:r>
      <w:r>
        <w:rPr>
          <w:rFonts w:hint="eastAsia" w:hAnsi="Calibri"/>
          <w:color w:val="auto"/>
          <w:kern w:val="2"/>
          <w:szCs w:val="32"/>
          <w:shd w:val="clear" w:color="auto" w:fill="FFFFFF"/>
          <w:lang w:val="en-US" w:bidi="ar-SA"/>
        </w:rPr>
        <w:t>年以上基金管理工作经验的专职高级管理人员</w:t>
      </w:r>
      <w:r>
        <w:rPr>
          <w:rFonts w:hint="eastAsia" w:hAnsi="Calibri"/>
          <w:color w:val="auto"/>
          <w:kern w:val="2"/>
          <w:szCs w:val="32"/>
          <w:shd w:val="clear" w:color="auto" w:fill="FFFFFF"/>
          <w:lang w:val="en-US" w:eastAsia="zh-CN" w:bidi="ar-SA"/>
        </w:rPr>
        <w:t>，</w:t>
      </w:r>
      <w:r>
        <w:rPr>
          <w:rFonts w:hint="eastAsia" w:hAnsi="Calibri"/>
          <w:color w:val="auto"/>
          <w:kern w:val="2"/>
          <w:szCs w:val="32"/>
          <w:highlight w:val="none"/>
          <w:shd w:val="clear" w:color="auto" w:fill="FFFFFF"/>
          <w:lang w:val="en-US" w:bidi="ar-SA"/>
        </w:rPr>
        <w:t>其中至少有2名具有</w:t>
      </w:r>
      <w:r>
        <w:rPr>
          <w:rFonts w:hint="eastAsia" w:hAnsi="Calibri"/>
          <w:color w:val="auto"/>
          <w:kern w:val="2"/>
          <w:szCs w:val="32"/>
          <w:highlight w:val="none"/>
          <w:shd w:val="clear" w:color="auto" w:fill="FFFFFF"/>
          <w:lang w:val="en-US" w:eastAsia="zh-CN" w:bidi="ar-SA"/>
        </w:rPr>
        <w:t>5</w:t>
      </w:r>
      <w:r>
        <w:rPr>
          <w:rFonts w:hint="eastAsia" w:hAnsi="Calibri"/>
          <w:color w:val="auto"/>
          <w:kern w:val="2"/>
          <w:szCs w:val="32"/>
          <w:highlight w:val="none"/>
          <w:shd w:val="clear" w:color="auto" w:fill="FFFFFF"/>
          <w:lang w:val="en-US" w:bidi="ar-SA"/>
        </w:rPr>
        <w:t>年以上高端装备制造、新材料及煤化工、生物医药、新能源、信息及数字产业等领域的直投项目或子基金投资经验的专职高级管理人员。高级管理人员是指在</w:t>
      </w:r>
      <w:r>
        <w:rPr>
          <w:rFonts w:hint="eastAsia" w:hAnsi="Calibri"/>
          <w:color w:val="auto"/>
          <w:kern w:val="2"/>
          <w:szCs w:val="32"/>
          <w:highlight w:val="none"/>
          <w:shd w:val="clear" w:color="auto" w:fill="FFFFFF"/>
          <w:lang w:val="en-US" w:eastAsia="zh-CN" w:bidi="ar-SA"/>
        </w:rPr>
        <w:t>申报</w:t>
      </w:r>
      <w:r>
        <w:rPr>
          <w:rFonts w:hint="eastAsia" w:hAnsi="Calibri"/>
          <w:color w:val="auto"/>
          <w:kern w:val="2"/>
          <w:szCs w:val="32"/>
          <w:highlight w:val="none"/>
          <w:shd w:val="clear" w:color="auto" w:fill="FFFFFF"/>
          <w:lang w:val="en-US" w:bidi="ar-SA"/>
        </w:rPr>
        <w:t>机构担任中层及以上职务的管理人员</w:t>
      </w:r>
      <w:r>
        <w:rPr>
          <w:rFonts w:hint="eastAsia" w:hAnsi="Calibri"/>
          <w:color w:val="auto"/>
          <w:kern w:val="2"/>
          <w:szCs w:val="32"/>
          <w:highlight w:val="none"/>
          <w:shd w:val="clear" w:color="auto" w:fill="FFFFFF"/>
          <w:lang w:val="en-US" w:eastAsia="zh-CN" w:bidi="ar-SA"/>
        </w:rPr>
        <w:t>。</w:t>
      </w:r>
    </w:p>
    <w:p w14:paraId="290FD38B">
      <w:pPr>
        <w:adjustRightInd w:val="0"/>
        <w:snapToGrid w:val="0"/>
        <w:spacing w:line="560" w:lineRule="exact"/>
        <w:ind w:firstLine="640"/>
        <w:rPr>
          <w:rFonts w:hint="eastAsia" w:hAnsi="Calibri"/>
          <w:color w:val="auto"/>
          <w:kern w:val="2"/>
          <w:szCs w:val="32"/>
          <w:highlight w:val="none"/>
          <w:shd w:val="clear" w:color="auto" w:fill="FFFFFF"/>
          <w:lang w:val="en-US" w:eastAsia="zh-CN" w:bidi="ar-SA"/>
        </w:rPr>
      </w:pPr>
      <w:r>
        <w:rPr>
          <w:rFonts w:hint="eastAsia" w:hAnsi="Calibri"/>
          <w:color w:val="auto"/>
          <w:kern w:val="2"/>
          <w:szCs w:val="32"/>
          <w:highlight w:val="none"/>
          <w:shd w:val="clear" w:color="auto" w:fill="FFFFFF"/>
          <w:lang w:val="en-US" w:eastAsia="zh-CN" w:bidi="ar-SA"/>
        </w:rPr>
        <w:t>（2）申报机构或核心成员历史业绩确保真实可核查，</w:t>
      </w:r>
      <w:r>
        <w:rPr>
          <w:rFonts w:hint="eastAsia" w:hAnsi="Calibri"/>
          <w:color w:val="auto"/>
          <w:kern w:val="2"/>
          <w:szCs w:val="32"/>
          <w:shd w:val="clear" w:color="auto" w:fill="FFFFFF"/>
          <w:lang w:val="en-US" w:bidi="ar-SA"/>
        </w:rPr>
        <w:t>至少有</w:t>
      </w:r>
      <w:r>
        <w:rPr>
          <w:rFonts w:hint="eastAsia" w:cs="Times New Roman"/>
          <w:color w:val="auto"/>
          <w:kern w:val="2"/>
          <w:sz w:val="32"/>
          <w:szCs w:val="32"/>
          <w:shd w:val="clear" w:color="auto" w:fill="FFFFFF"/>
          <w:lang w:val="en-US" w:eastAsia="zh-CN" w:bidi="ar-SA"/>
        </w:rPr>
        <w:t>5</w:t>
      </w:r>
      <w:r>
        <w:rPr>
          <w:rFonts w:hint="eastAsia" w:hAnsi="Calibri"/>
          <w:color w:val="auto"/>
          <w:kern w:val="2"/>
          <w:szCs w:val="32"/>
          <w:shd w:val="clear" w:color="auto" w:fill="FFFFFF"/>
          <w:lang w:val="en-US" w:bidi="ar-SA"/>
        </w:rPr>
        <w:t>个以上股权投资的成功案例</w:t>
      </w:r>
      <w:r>
        <w:rPr>
          <w:rFonts w:hint="eastAsia" w:hAnsi="Calibri"/>
          <w:color w:val="auto"/>
          <w:kern w:val="2"/>
          <w:szCs w:val="32"/>
          <w:highlight w:val="none"/>
          <w:shd w:val="clear" w:color="auto" w:fill="FFFFFF"/>
          <w:lang w:val="en-US" w:bidi="ar-SA"/>
        </w:rPr>
        <w:t>（</w:t>
      </w:r>
      <w:r>
        <w:rPr>
          <w:rFonts w:hint="eastAsia" w:ascii="仿宋_GB2312" w:eastAsia="仿宋_GB2312"/>
          <w:color w:val="auto"/>
          <w:sz w:val="32"/>
          <w:szCs w:val="40"/>
          <w:lang w:val="en-US" w:eastAsia="zh-CN"/>
        </w:rPr>
        <w:t>指已投项目实现上市或被并购，或项目退出所形成的年平均收益率不低于</w:t>
      </w:r>
      <w:r>
        <w:rPr>
          <w:rFonts w:hint="default" w:ascii="Times New Roman" w:hAnsi="Times New Roman" w:eastAsia="仿宋_GB2312" w:cs="Times New Roman"/>
          <w:color w:val="auto"/>
          <w:sz w:val="32"/>
          <w:szCs w:val="40"/>
          <w:lang w:val="en-US" w:eastAsia="zh-CN"/>
        </w:rPr>
        <w:t>10%</w:t>
      </w:r>
      <w:r>
        <w:rPr>
          <w:rFonts w:hint="eastAsia" w:hAnsi="Calibri"/>
          <w:color w:val="auto"/>
          <w:kern w:val="2"/>
          <w:szCs w:val="32"/>
          <w:highlight w:val="none"/>
          <w:shd w:val="clear" w:color="auto" w:fill="FFFFFF"/>
          <w:lang w:val="en-US" w:bidi="ar-SA"/>
        </w:rPr>
        <w:t>）</w:t>
      </w:r>
      <w:r>
        <w:rPr>
          <w:rFonts w:hint="eastAsia" w:hAnsi="Calibri"/>
          <w:color w:val="auto"/>
          <w:kern w:val="2"/>
          <w:szCs w:val="32"/>
          <w:highlight w:val="none"/>
          <w:shd w:val="clear" w:color="auto" w:fill="FFFFFF"/>
          <w:lang w:val="en-US" w:eastAsia="zh-CN" w:bidi="ar-SA"/>
        </w:rPr>
        <w:t>。</w:t>
      </w:r>
    </w:p>
    <w:p w14:paraId="4C91CF03">
      <w:pPr>
        <w:adjustRightInd w:val="0"/>
        <w:snapToGrid w:val="0"/>
        <w:spacing w:line="560" w:lineRule="exact"/>
        <w:ind w:firstLine="640"/>
        <w:rPr>
          <w:rFonts w:hint="default" w:hAnsi="Calibri"/>
          <w:color w:val="auto"/>
          <w:kern w:val="2"/>
          <w:szCs w:val="32"/>
          <w:highlight w:val="none"/>
          <w:shd w:val="clear" w:color="auto" w:fill="FFFFFF"/>
          <w:lang w:val="en-US" w:eastAsia="zh-CN" w:bidi="ar-SA"/>
        </w:rPr>
      </w:pPr>
      <w:r>
        <w:rPr>
          <w:rFonts w:hint="eastAsia" w:hAnsi="Calibri"/>
          <w:color w:val="auto"/>
          <w:kern w:val="2"/>
          <w:szCs w:val="32"/>
          <w:highlight w:val="none"/>
          <w:shd w:val="clear" w:color="auto" w:fill="FFFFFF"/>
          <w:lang w:val="en-US" w:eastAsia="zh-CN" w:bidi="ar-SA"/>
        </w:rPr>
        <w:t>（3）核心成员过往主导管理基金中，需有不少于1只关联投资领域的基金且DPI</w:t>
      </w:r>
      <w:r>
        <w:rPr>
          <w:rStyle w:val="21"/>
          <w:rFonts w:hint="eastAsia" w:hAnsi="Calibri"/>
          <w:color w:val="auto"/>
          <w:kern w:val="2"/>
          <w:szCs w:val="32"/>
          <w:highlight w:val="none"/>
          <w:shd w:val="clear" w:color="auto" w:fill="FFFFFF"/>
          <w:lang w:val="en-US" w:eastAsia="zh-CN" w:bidi="ar-SA"/>
        </w:rPr>
        <w:footnoteReference w:id="0"/>
      </w:r>
      <w:r>
        <w:rPr>
          <w:rFonts w:hint="eastAsia" w:hAnsi="Calibri"/>
          <w:color w:val="auto"/>
          <w:kern w:val="2"/>
          <w:szCs w:val="32"/>
          <w:highlight w:val="none"/>
          <w:shd w:val="clear" w:color="auto" w:fill="FFFFFF"/>
          <w:lang w:val="en-US" w:eastAsia="zh-CN" w:bidi="ar-SA"/>
        </w:rPr>
        <w:t>&gt;1。</w:t>
      </w:r>
    </w:p>
    <w:p w14:paraId="14179414">
      <w:pPr>
        <w:pStyle w:val="3"/>
        <w:bidi w:val="0"/>
        <w:rPr>
          <w:rFonts w:hint="eastAsia" w:ascii="Times New Roman" w:hAnsi="Times New Roman" w:cs="Times New Roman"/>
          <w:color w:val="auto"/>
          <w:lang w:val="en-US"/>
        </w:rPr>
      </w:pPr>
      <w:r>
        <w:rPr>
          <w:rFonts w:hint="eastAsia" w:ascii="Times New Roman" w:hAnsi="Times New Roman" w:cs="Times New Roman"/>
          <w:color w:val="auto"/>
          <w:lang w:val="en-US"/>
        </w:rPr>
        <w:t>（二）管理要求</w:t>
      </w:r>
    </w:p>
    <w:p w14:paraId="1E45B8F7">
      <w:pPr>
        <w:bidi w:val="0"/>
        <w:rPr>
          <w:rFonts w:hint="eastAsia" w:ascii="Times New Roman" w:hAnsi="Times New Roman" w:cs="Times New Roman"/>
          <w:color w:val="auto"/>
          <w:lang w:val="en-US"/>
        </w:rPr>
      </w:pPr>
      <w:r>
        <w:rPr>
          <w:rFonts w:hint="default" w:ascii="Times New Roman" w:hAnsi="Times New Roman" w:cs="Times New Roman"/>
          <w:color w:val="auto"/>
          <w:lang w:val="en-US"/>
        </w:rPr>
        <w:t>1</w:t>
      </w:r>
      <w:r>
        <w:rPr>
          <w:rFonts w:hint="eastAsia" w:ascii="Times New Roman" w:hAnsi="Times New Roman" w:cs="Times New Roman"/>
          <w:color w:val="auto"/>
          <w:lang w:val="en-US"/>
        </w:rPr>
        <w:t>.团队配备。在</w:t>
      </w:r>
      <w:r>
        <w:rPr>
          <w:rFonts w:hint="eastAsia" w:ascii="Times New Roman" w:hAnsi="Times New Roman" w:cs="Times New Roman"/>
          <w:color w:val="auto"/>
          <w:lang w:val="en-US" w:eastAsia="zh-CN"/>
        </w:rPr>
        <w:t>本</w:t>
      </w:r>
      <w:r>
        <w:rPr>
          <w:rFonts w:hint="eastAsia" w:ascii="Times New Roman" w:hAnsi="Times New Roman" w:cs="Times New Roman"/>
          <w:color w:val="auto"/>
          <w:lang w:val="en-US"/>
        </w:rPr>
        <w:t>基金存续期内专职管理，根据基金规模和业务需要配备合理的管理和投资人员，并至少满足以下条件：</w:t>
      </w:r>
    </w:p>
    <w:p w14:paraId="71BCD43D">
      <w:pPr>
        <w:bidi w:val="0"/>
        <w:jc w:val="both"/>
        <w:rPr>
          <w:rFonts w:hint="eastAsia" w:ascii="Times New Roman" w:hAnsi="Times New Roman" w:cs="Times New Roman"/>
          <w:color w:val="auto"/>
          <w:highlight w:val="none"/>
          <w:lang w:val="en-US"/>
        </w:rPr>
      </w:pPr>
      <w:r>
        <w:rPr>
          <w:rFonts w:hint="eastAsia" w:cs="Times New Roman"/>
          <w:color w:val="auto"/>
          <w:lang w:val="en-US" w:eastAsia="zh-CN"/>
        </w:rPr>
        <w:t>（</w:t>
      </w:r>
      <w:r>
        <w:rPr>
          <w:rFonts w:hint="default" w:ascii="Times New Roman" w:hAnsi="Times New Roman" w:cs="Times New Roman"/>
          <w:color w:val="auto"/>
          <w:lang w:val="en-US" w:eastAsia="zh-CN"/>
        </w:rPr>
        <w:t>1</w:t>
      </w:r>
      <w:r>
        <w:rPr>
          <w:rFonts w:hint="eastAsia" w:cs="Times New Roman"/>
          <w:color w:val="auto"/>
          <w:lang w:val="en-US" w:eastAsia="zh-CN"/>
        </w:rPr>
        <w:t>）</w:t>
      </w:r>
      <w:r>
        <w:rPr>
          <w:rFonts w:hint="eastAsia" w:ascii="Times New Roman" w:hAnsi="Times New Roman" w:cs="Times New Roman"/>
          <w:color w:val="auto"/>
          <w:highlight w:val="none"/>
          <w:lang w:val="en-US"/>
        </w:rPr>
        <w:t>为本基金配备至少</w:t>
      </w:r>
      <w:r>
        <w:rPr>
          <w:rFonts w:hint="eastAsia" w:cs="Times New Roman"/>
          <w:color w:val="auto"/>
          <w:highlight w:val="none"/>
          <w:lang w:val="en-US" w:eastAsia="zh-CN"/>
        </w:rPr>
        <w:t>3</w:t>
      </w:r>
      <w:r>
        <w:rPr>
          <w:rFonts w:hint="eastAsia" w:ascii="Times New Roman" w:hAnsi="Times New Roman" w:cs="Times New Roman"/>
          <w:color w:val="auto"/>
          <w:highlight w:val="none"/>
          <w:lang w:val="en-US"/>
        </w:rPr>
        <w:t>名具备</w:t>
      </w:r>
      <w:r>
        <w:rPr>
          <w:rFonts w:hint="eastAsia" w:cs="Times New Roman"/>
          <w:color w:val="auto"/>
          <w:highlight w:val="none"/>
          <w:lang w:val="en-US" w:eastAsia="zh-CN"/>
        </w:rPr>
        <w:t>5</w:t>
      </w:r>
      <w:r>
        <w:rPr>
          <w:rFonts w:hint="eastAsia" w:ascii="Times New Roman" w:hAnsi="Times New Roman" w:cs="Times New Roman"/>
          <w:color w:val="auto"/>
          <w:highlight w:val="none"/>
          <w:lang w:val="en-US"/>
        </w:rPr>
        <w:t>年以上</w:t>
      </w:r>
      <w:r>
        <w:rPr>
          <w:rFonts w:hint="eastAsia" w:ascii="Times New Roman" w:hAnsi="Times New Roman" w:cs="Times New Roman"/>
          <w:color w:val="auto"/>
          <w:highlight w:val="none"/>
          <w:lang w:val="en-US" w:eastAsia="zh-CN"/>
        </w:rPr>
        <w:t>相关</w:t>
      </w:r>
      <w:r>
        <w:rPr>
          <w:rFonts w:hint="eastAsia" w:ascii="Times New Roman" w:hAnsi="Times New Roman" w:cs="Times New Roman"/>
          <w:color w:val="auto"/>
          <w:highlight w:val="none"/>
          <w:lang w:val="en-US"/>
        </w:rPr>
        <w:t>领域</w:t>
      </w:r>
      <w:r>
        <w:rPr>
          <w:rFonts w:hint="eastAsia" w:ascii="Times New Roman" w:hAnsi="Times New Roman" w:cs="Times New Roman"/>
          <w:color w:val="auto"/>
          <w:highlight w:val="none"/>
          <w:lang w:val="en-US" w:eastAsia="zh-CN"/>
        </w:rPr>
        <w:t>股权</w:t>
      </w:r>
      <w:r>
        <w:rPr>
          <w:rFonts w:hint="eastAsia" w:ascii="Times New Roman" w:hAnsi="Times New Roman" w:cs="Times New Roman"/>
          <w:color w:val="auto"/>
          <w:highlight w:val="none"/>
          <w:lang w:val="en-US"/>
        </w:rPr>
        <w:t>投资经验</w:t>
      </w:r>
      <w:r>
        <w:rPr>
          <w:rFonts w:hint="eastAsia" w:ascii="Times New Roman" w:hAnsi="Times New Roman" w:cs="Times New Roman"/>
          <w:color w:val="auto"/>
          <w:highlight w:val="none"/>
          <w:lang w:val="en-US" w:eastAsia="zh-CN"/>
        </w:rPr>
        <w:t>的</w:t>
      </w:r>
      <w:r>
        <w:rPr>
          <w:rFonts w:hint="eastAsia"/>
          <w:color w:val="auto"/>
          <w:lang w:val="en-US" w:eastAsia="zh-CN"/>
        </w:rPr>
        <w:t>团队成员，并在</w:t>
      </w:r>
      <w:r>
        <w:rPr>
          <w:rFonts w:hint="eastAsia"/>
          <w:color w:val="auto"/>
          <w:lang w:val="en-US"/>
        </w:rPr>
        <w:t>山西省内配备</w:t>
      </w:r>
      <w:r>
        <w:rPr>
          <w:rFonts w:hint="eastAsia"/>
          <w:color w:val="auto"/>
          <w:lang w:val="en-US" w:eastAsia="zh-CN"/>
        </w:rPr>
        <w:t>不低于5人</w:t>
      </w:r>
      <w:r>
        <w:rPr>
          <w:rFonts w:hint="eastAsia"/>
          <w:color w:val="auto"/>
          <w:lang w:val="en-US"/>
        </w:rPr>
        <w:t>的投资团队</w:t>
      </w:r>
      <w:r>
        <w:rPr>
          <w:rFonts w:hint="eastAsia" w:ascii="Times New Roman" w:hAnsi="Times New Roman" w:cs="Times New Roman"/>
          <w:color w:val="auto"/>
          <w:highlight w:val="none"/>
          <w:lang w:val="en-US"/>
        </w:rPr>
        <w:t>；</w:t>
      </w:r>
    </w:p>
    <w:p w14:paraId="4DE6B366">
      <w:pPr>
        <w:bidi w:val="0"/>
        <w:jc w:val="left"/>
        <w:rPr>
          <w:rFonts w:hint="eastAsia" w:ascii="Times New Roman" w:hAnsi="Times New Roman" w:cs="Times New Roman"/>
          <w:color w:val="auto"/>
          <w:lang w:val="en-US"/>
        </w:rPr>
      </w:pPr>
      <w:r>
        <w:rPr>
          <w:rFonts w:hint="eastAsia" w:ascii="Times New Roman" w:hAnsi="Times New Roman" w:cs="Times New Roman"/>
          <w:color w:val="auto"/>
          <w:lang w:val="en-US"/>
        </w:rPr>
        <w:t>（</w:t>
      </w:r>
      <w:r>
        <w:rPr>
          <w:rFonts w:hint="default" w:ascii="Times New Roman" w:hAnsi="Times New Roman" w:cs="Times New Roman"/>
          <w:color w:val="auto"/>
          <w:lang w:val="en-US" w:eastAsia="zh-CN"/>
        </w:rPr>
        <w:t>2</w:t>
      </w:r>
      <w:r>
        <w:rPr>
          <w:rFonts w:hint="eastAsia" w:ascii="Times New Roman" w:hAnsi="Times New Roman" w:cs="Times New Roman"/>
          <w:color w:val="auto"/>
          <w:lang w:val="en-US"/>
        </w:rPr>
        <w:t>）为本基金至少配备</w:t>
      </w:r>
      <w:r>
        <w:rPr>
          <w:rFonts w:hint="default" w:ascii="Times New Roman" w:hAnsi="Times New Roman" w:cs="Times New Roman"/>
          <w:color w:val="auto"/>
          <w:lang w:val="en-US"/>
        </w:rPr>
        <w:t>1</w:t>
      </w:r>
      <w:r>
        <w:rPr>
          <w:rFonts w:hint="eastAsia" w:ascii="Times New Roman" w:hAnsi="Times New Roman" w:cs="Times New Roman"/>
          <w:color w:val="auto"/>
          <w:lang w:val="en-US"/>
        </w:rPr>
        <w:t>名关键人士，关键人士原则上应为申报机构担任合伙人或副总经理及以上职务的管理人员，关键人士必须参与基金投委会或担任合伙人委派代表。</w:t>
      </w:r>
    </w:p>
    <w:p w14:paraId="4C664DCE">
      <w:pPr>
        <w:bidi w:val="0"/>
        <w:rPr>
          <w:rFonts w:hint="eastAsia" w:ascii="Times New Roman" w:hAnsi="Times New Roman" w:cs="Times New Roman"/>
          <w:color w:val="auto"/>
          <w:lang w:val="en-US"/>
        </w:rPr>
      </w:pPr>
      <w:r>
        <w:rPr>
          <w:rFonts w:hint="default" w:ascii="Times New Roman" w:hAnsi="Times New Roman" w:cs="Times New Roman"/>
          <w:color w:val="auto"/>
          <w:lang w:val="en-US"/>
        </w:rPr>
        <w:t>2</w:t>
      </w:r>
      <w:r>
        <w:rPr>
          <w:rFonts w:hint="eastAsia" w:ascii="Times New Roman" w:hAnsi="Times New Roman" w:cs="Times New Roman"/>
          <w:color w:val="auto"/>
          <w:lang w:val="en-US"/>
        </w:rPr>
        <w:t>.专注度。在基金投资期内应保证关键人士的稳定性，未经</w:t>
      </w:r>
      <w:r>
        <w:rPr>
          <w:rFonts w:hint="eastAsia" w:cs="Times New Roman"/>
          <w:color w:val="auto"/>
          <w:lang w:val="en-US" w:eastAsia="zh-CN"/>
        </w:rPr>
        <w:t>全体合伙人</w:t>
      </w:r>
      <w:r>
        <w:rPr>
          <w:rFonts w:hint="eastAsia" w:ascii="Times New Roman" w:hAnsi="Times New Roman" w:cs="Times New Roman"/>
          <w:color w:val="auto"/>
          <w:lang w:val="en-US"/>
        </w:rPr>
        <w:t>同意，不得随意变动。</w:t>
      </w:r>
    </w:p>
    <w:p w14:paraId="388F5BC1">
      <w:pPr>
        <w:adjustRightInd w:val="0"/>
        <w:snapToGrid w:val="0"/>
        <w:spacing w:line="560" w:lineRule="exact"/>
        <w:ind w:firstLine="643"/>
        <w:rPr>
          <w:rFonts w:hint="eastAsia" w:ascii="Times New Roman" w:hAnsi="Times New Roman" w:cs="Times New Roman"/>
          <w:color w:val="auto"/>
          <w:lang w:val="en-US"/>
        </w:rPr>
      </w:pPr>
      <w:r>
        <w:rPr>
          <w:rFonts w:hint="default" w:ascii="Times New Roman" w:hAnsi="Times New Roman" w:cs="Times New Roman"/>
          <w:color w:val="auto"/>
          <w:lang w:val="en-US"/>
        </w:rPr>
        <w:t>3</w:t>
      </w:r>
      <w:r>
        <w:rPr>
          <w:rFonts w:hint="eastAsia" w:ascii="Times New Roman" w:hAnsi="Times New Roman" w:cs="Times New Roman"/>
          <w:color w:val="auto"/>
          <w:lang w:val="en-US"/>
        </w:rPr>
        <w:t>.产业服务。中选机构</w:t>
      </w:r>
      <w:r>
        <w:rPr>
          <w:rFonts w:hint="eastAsia" w:cs="Times New Roman"/>
          <w:color w:val="auto"/>
          <w:lang w:val="en-US" w:eastAsia="zh-CN"/>
        </w:rPr>
        <w:t>应</w:t>
      </w:r>
      <w:r>
        <w:rPr>
          <w:rFonts w:hint="eastAsia" w:ascii="Times New Roman" w:hAnsi="Times New Roman" w:cs="Times New Roman"/>
          <w:color w:val="auto"/>
          <w:lang w:val="en-US"/>
        </w:rPr>
        <w:t>积极服务</w:t>
      </w:r>
      <w:r>
        <w:rPr>
          <w:rFonts w:hint="eastAsia" w:cs="Times New Roman"/>
          <w:color w:val="auto"/>
          <w:lang w:val="en-US" w:eastAsia="zh-CN"/>
        </w:rPr>
        <w:t>山西省各地市</w:t>
      </w:r>
      <w:r>
        <w:rPr>
          <w:rFonts w:hint="eastAsia" w:cs="Times New Roman"/>
          <w:color w:val="auto"/>
          <w:highlight w:val="none"/>
          <w:lang w:val="en-US" w:eastAsia="zh-CN"/>
        </w:rPr>
        <w:t>制造业高质量发展，</w:t>
      </w:r>
      <w:r>
        <w:rPr>
          <w:rFonts w:hint="eastAsia" w:ascii="Times New Roman" w:hAnsi="Times New Roman" w:cs="Times New Roman"/>
          <w:color w:val="auto"/>
          <w:lang w:val="en-US"/>
        </w:rPr>
        <w:t>参与产业发展规划研究、提供产业战略咨询意见</w:t>
      </w:r>
      <w:r>
        <w:rPr>
          <w:rFonts w:hint="eastAsia" w:cs="Times New Roman"/>
          <w:color w:val="auto"/>
          <w:lang w:val="en-US" w:eastAsia="zh-CN"/>
        </w:rPr>
        <w:t>、引入优质产业项目落地山西</w:t>
      </w:r>
      <w:r>
        <w:rPr>
          <w:rFonts w:hint="eastAsia" w:ascii="Times New Roman" w:hAnsi="Times New Roman" w:cs="Times New Roman"/>
          <w:color w:val="auto"/>
          <w:lang w:val="en-US"/>
        </w:rPr>
        <w:t>。</w:t>
      </w:r>
    </w:p>
    <w:p w14:paraId="2569E153">
      <w:pPr>
        <w:bidi w:val="0"/>
        <w:rPr>
          <w:rFonts w:hint="eastAsia" w:ascii="Times New Roman" w:hAnsi="Times New Roman" w:cs="Times New Roman"/>
          <w:color w:val="auto"/>
          <w:lang w:val="en-US"/>
        </w:rPr>
      </w:pPr>
      <w:r>
        <w:rPr>
          <w:rFonts w:hint="default" w:ascii="Times New Roman" w:hAnsi="Times New Roman" w:cs="Times New Roman"/>
          <w:color w:val="auto"/>
          <w:lang w:val="en-US" w:eastAsia="zh-CN"/>
        </w:rPr>
        <w:t>4</w:t>
      </w:r>
      <w:r>
        <w:rPr>
          <w:rFonts w:hint="eastAsia" w:ascii="Times New Roman" w:hAnsi="Times New Roman" w:cs="Times New Roman"/>
          <w:color w:val="auto"/>
          <w:lang w:val="en-US"/>
        </w:rPr>
        <w:t>.资金托管。基金应委托一家在中国境内设立且具备资质的金融机构进行托管。</w:t>
      </w:r>
    </w:p>
    <w:p w14:paraId="3D7734C8">
      <w:pPr>
        <w:bidi w:val="0"/>
        <w:rPr>
          <w:rFonts w:hint="eastAsia" w:ascii="Times New Roman" w:hAnsi="Times New Roman" w:cs="Times New Roman"/>
          <w:color w:val="auto"/>
          <w:lang w:val="en-US"/>
        </w:rPr>
      </w:pPr>
      <w:r>
        <w:rPr>
          <w:rFonts w:hint="default" w:ascii="Times New Roman" w:hAnsi="Times New Roman" w:cs="Times New Roman"/>
          <w:color w:val="auto"/>
          <w:lang w:val="en-US" w:eastAsia="zh-CN"/>
        </w:rPr>
        <w:t>5</w:t>
      </w:r>
      <w:r>
        <w:rPr>
          <w:rFonts w:hint="eastAsia" w:ascii="Times New Roman" w:hAnsi="Times New Roman" w:cs="Times New Roman"/>
          <w:color w:val="auto"/>
          <w:lang w:val="en-US"/>
        </w:rPr>
        <w:t>.基金备案。</w:t>
      </w:r>
      <w:r>
        <w:rPr>
          <w:rFonts w:hint="eastAsia" w:cs="Times New Roman"/>
          <w:color w:val="auto"/>
          <w:lang w:val="en-US" w:eastAsia="zh-CN"/>
        </w:rPr>
        <w:t>中选管理机构</w:t>
      </w:r>
      <w:r>
        <w:rPr>
          <w:rFonts w:hint="eastAsia" w:ascii="Times New Roman" w:hAnsi="Times New Roman" w:cs="Times New Roman"/>
          <w:color w:val="auto"/>
          <w:lang w:val="en-US"/>
        </w:rPr>
        <w:t>应在</w:t>
      </w:r>
      <w:r>
        <w:rPr>
          <w:rFonts w:hint="eastAsia" w:cs="Times New Roman"/>
          <w:color w:val="auto"/>
          <w:lang w:val="en-US" w:eastAsia="zh-CN"/>
        </w:rPr>
        <w:t>基金首期</w:t>
      </w:r>
      <w:r>
        <w:rPr>
          <w:rFonts w:hint="eastAsia" w:ascii="Times New Roman" w:hAnsi="Times New Roman" w:cs="Times New Roman"/>
          <w:color w:val="auto"/>
          <w:lang w:val="en-US"/>
        </w:rPr>
        <w:t>募集完毕之日起</w:t>
      </w:r>
      <w:r>
        <w:rPr>
          <w:rFonts w:hint="default" w:ascii="Times New Roman" w:hAnsi="Times New Roman" w:cs="Times New Roman"/>
          <w:color w:val="auto"/>
          <w:lang w:val="en-US"/>
        </w:rPr>
        <w:t>20</w:t>
      </w:r>
      <w:r>
        <w:rPr>
          <w:rFonts w:hint="eastAsia" w:ascii="Times New Roman" w:hAnsi="Times New Roman" w:cs="Times New Roman"/>
          <w:color w:val="auto"/>
          <w:lang w:val="en-US"/>
        </w:rPr>
        <w:t>个工作日内完成向中基协提交基金备案申请。</w:t>
      </w:r>
    </w:p>
    <w:p w14:paraId="5D0F2E28">
      <w:pPr>
        <w:bidi w:val="0"/>
        <w:rPr>
          <w:rFonts w:hint="eastAsia" w:ascii="Times New Roman" w:hAnsi="Times New Roman" w:cs="Times New Roman"/>
          <w:color w:val="auto"/>
        </w:rPr>
      </w:pPr>
      <w:r>
        <w:rPr>
          <w:rFonts w:hint="default" w:ascii="Times New Roman" w:hAnsi="Times New Roman" w:cs="Times New Roman"/>
          <w:color w:val="auto"/>
          <w:lang w:val="en-US" w:eastAsia="zh-CN"/>
        </w:rPr>
        <w:t>6</w:t>
      </w:r>
      <w:r>
        <w:rPr>
          <w:rFonts w:hint="eastAsia" w:ascii="Times New Roman" w:hAnsi="Times New Roman" w:cs="Times New Roman"/>
          <w:color w:val="auto"/>
        </w:rPr>
        <w:t>.信息披露。建立基金重大事项披露制度，定期向</w:t>
      </w:r>
      <w:r>
        <w:rPr>
          <w:rFonts w:hint="eastAsia" w:ascii="Times New Roman" w:hAnsi="Times New Roman" w:cs="Times New Roman"/>
          <w:color w:val="auto"/>
          <w:highlight w:val="none"/>
          <w:lang w:val="en-US" w:eastAsia="zh-CN"/>
        </w:rPr>
        <w:t>山西省政府</w:t>
      </w:r>
      <w:r>
        <w:rPr>
          <w:rFonts w:hint="eastAsia" w:cs="Times New Roman"/>
          <w:color w:val="auto"/>
          <w:highlight w:val="none"/>
          <w:lang w:val="en-US" w:eastAsia="zh-CN"/>
        </w:rPr>
        <w:t>投资基金的出资人</w:t>
      </w:r>
      <w:r>
        <w:rPr>
          <w:rFonts w:hint="eastAsia" w:ascii="Times New Roman" w:hAnsi="Times New Roman" w:cs="Times New Roman"/>
          <w:color w:val="auto"/>
        </w:rPr>
        <w:t>提交基金运营报告、经审计的基金财务报告和银行托管报告等</w:t>
      </w:r>
      <w:r>
        <w:rPr>
          <w:rFonts w:hint="eastAsia" w:cs="Times New Roman"/>
          <w:color w:val="auto"/>
          <w:lang w:eastAsia="zh-CN"/>
        </w:rPr>
        <w:t>，</w:t>
      </w:r>
      <w:r>
        <w:rPr>
          <w:rFonts w:hint="eastAsia" w:ascii="Times New Roman" w:hAnsi="Times New Roman" w:cs="Times New Roman"/>
          <w:color w:val="auto"/>
        </w:rPr>
        <w:t>报送具体基金投资运营相关信息。</w:t>
      </w:r>
    </w:p>
    <w:p w14:paraId="6CB14392">
      <w:pPr>
        <w:pStyle w:val="15"/>
        <w:keepNext w:val="0"/>
        <w:keepLines w:val="0"/>
        <w:pageBreakBefore w:val="0"/>
        <w:widowControl w:val="0"/>
        <w:kinsoku/>
        <w:wordWrap/>
        <w:overflowPunct/>
        <w:topLinePunct w:val="0"/>
        <w:autoSpaceDE w:val="0"/>
        <w:autoSpaceDN w:val="0"/>
        <w:bidi w:val="0"/>
        <w:adjustRightInd/>
        <w:snapToGrid/>
        <w:spacing w:after="0"/>
        <w:textAlignment w:val="auto"/>
        <w:rPr>
          <w:rFonts w:hint="eastAsia" w:ascii="Times New Roman" w:hAnsi="Times New Roman" w:cs="Times New Roman"/>
          <w:color w:val="auto"/>
          <w:highlight w:val="none"/>
          <w:lang w:val="en-US"/>
        </w:rPr>
      </w:pPr>
      <w:r>
        <w:rPr>
          <w:rFonts w:hint="default" w:ascii="Times New Roman" w:hAnsi="Times New Roman" w:cs="Times New Roman"/>
          <w:color w:val="auto"/>
          <w:lang w:val="en-US" w:eastAsia="zh-CN"/>
        </w:rPr>
        <w:t>7</w:t>
      </w:r>
      <w:r>
        <w:rPr>
          <w:rFonts w:hint="eastAsia" w:cs="Times New Roman"/>
          <w:color w:val="auto"/>
          <w:lang w:val="en-US" w:eastAsia="zh-CN"/>
        </w:rPr>
        <w:t>.禁止事项。基金</w:t>
      </w:r>
      <w:r>
        <w:rPr>
          <w:rFonts w:hint="eastAsia" w:cs="Times New Roman"/>
          <w:b w:val="0"/>
          <w:color w:val="auto"/>
          <w:highlight w:val="none"/>
          <w:lang w:val="en-US" w:eastAsia="zh-CN"/>
        </w:rPr>
        <w:t>不得从事</w:t>
      </w:r>
      <w:r>
        <w:rPr>
          <w:rFonts w:hint="eastAsia" w:ascii="Times New Roman" w:hAnsi="Times New Roman" w:cs="Times New Roman"/>
          <w:color w:val="auto"/>
          <w:highlight w:val="none"/>
          <w:lang w:val="en-US"/>
        </w:rPr>
        <w:t>国家法律法规或行业监管规定等禁止从事的业务。</w:t>
      </w:r>
    </w:p>
    <w:p w14:paraId="12B86639">
      <w:pPr>
        <w:pStyle w:val="3"/>
        <w:numPr>
          <w:ilvl w:val="0"/>
          <w:numId w:val="0"/>
        </w:numPr>
        <w:adjustRightInd w:val="0"/>
        <w:snapToGrid w:val="0"/>
        <w:spacing w:line="560" w:lineRule="exact"/>
        <w:ind w:firstLine="640" w:firstLineChars="200"/>
        <w:rPr>
          <w:rFonts w:hint="default" w:ascii="黑体" w:hAnsi="黑体" w:eastAsia="黑体" w:cs="黑体"/>
          <w:color w:val="auto"/>
          <w:sz w:val="32"/>
          <w:szCs w:val="22"/>
          <w:highlight w:val="none"/>
          <w:lang w:val="en-US" w:eastAsia="zh-CN" w:bidi="zh-CN"/>
        </w:rPr>
      </w:pPr>
      <w:r>
        <w:rPr>
          <w:rFonts w:hint="eastAsia" w:ascii="黑体" w:hAnsi="黑体" w:eastAsia="黑体" w:cs="黑体"/>
          <w:color w:val="auto"/>
          <w:sz w:val="32"/>
          <w:szCs w:val="22"/>
          <w:highlight w:val="none"/>
          <w:lang w:val="en-US" w:eastAsia="zh-CN" w:bidi="zh-CN"/>
        </w:rPr>
        <w:t xml:space="preserve">三、限制性安排  </w:t>
      </w:r>
    </w:p>
    <w:p w14:paraId="75257C9C">
      <w:pPr>
        <w:adjustRightInd w:val="0"/>
        <w:snapToGrid w:val="0"/>
        <w:spacing w:line="560" w:lineRule="exact"/>
        <w:ind w:firstLine="640"/>
        <w:rPr>
          <w:rFonts w:hint="eastAsia" w:hAnsi="Microsoft JhengHei Light" w:cs="Microsoft JhengHei Light"/>
          <w:color w:val="auto"/>
          <w:szCs w:val="32"/>
          <w:highlight w:val="none"/>
          <w:lang w:val="en-US"/>
        </w:rPr>
      </w:pPr>
      <w:r>
        <w:rPr>
          <w:rFonts w:hint="eastAsia" w:hAnsi="Microsoft JhengHei Light" w:cs="Microsoft JhengHei Light"/>
          <w:color w:val="auto"/>
          <w:szCs w:val="32"/>
          <w:highlight w:val="none"/>
          <w:lang w:val="en-US"/>
        </w:rPr>
        <w:t>有下列情况之一的，</w:t>
      </w:r>
      <w:r>
        <w:rPr>
          <w:rFonts w:hint="eastAsia"/>
          <w:color w:val="auto"/>
          <w:highlight w:val="none"/>
          <w:lang w:val="en-US"/>
        </w:rPr>
        <w:t>政府投资基金</w:t>
      </w:r>
      <w:r>
        <w:rPr>
          <w:rFonts w:hint="eastAsia" w:hAnsi="Microsoft JhengHei Light" w:cs="Microsoft JhengHei Light"/>
          <w:color w:val="auto"/>
          <w:szCs w:val="32"/>
          <w:highlight w:val="none"/>
          <w:lang w:val="en-US"/>
        </w:rPr>
        <w:t>有权重新遴选更换管理机构</w:t>
      </w:r>
      <w:r>
        <w:rPr>
          <w:rFonts w:hint="eastAsia" w:hAnsi="Microsoft JhengHei Light" w:cs="Microsoft JhengHei Light"/>
          <w:color w:val="auto"/>
          <w:szCs w:val="32"/>
          <w:highlight w:val="none"/>
          <w:lang w:val="en-US" w:eastAsia="zh-CN"/>
        </w:rPr>
        <w:t>，</w:t>
      </w:r>
      <w:r>
        <w:rPr>
          <w:rFonts w:hint="eastAsia" w:hAnsi="Microsoft JhengHei Light" w:cs="Microsoft JhengHei Light"/>
          <w:color w:val="auto"/>
          <w:szCs w:val="32"/>
          <w:highlight w:val="none"/>
          <w:lang w:val="en-US"/>
        </w:rPr>
        <w:t>并可采取要求管理机构退还管理费、扣减收益分成、取消让利及后续合作资格等惩罚措施。</w:t>
      </w:r>
    </w:p>
    <w:p w14:paraId="47A58E7D">
      <w:pPr>
        <w:adjustRightInd w:val="0"/>
        <w:snapToGrid w:val="0"/>
        <w:spacing w:line="560" w:lineRule="exact"/>
        <w:ind w:firstLine="640"/>
        <w:rPr>
          <w:rFonts w:hint="eastAsia" w:hAnsi="Microsoft JhengHei Light" w:cs="Microsoft JhengHei Light"/>
          <w:color w:val="auto"/>
          <w:szCs w:val="32"/>
          <w:highlight w:val="none"/>
          <w:lang w:val="en-US"/>
        </w:rPr>
      </w:pPr>
      <w:r>
        <w:rPr>
          <w:rFonts w:hint="default" w:ascii="Times New Roman" w:hAnsi="Times New Roman" w:cs="Times New Roman"/>
          <w:color w:val="auto"/>
          <w:szCs w:val="32"/>
          <w:highlight w:val="none"/>
          <w:shd w:val="clear" w:color="auto" w:fill="FFFFFF"/>
          <w:lang w:val="en-US" w:eastAsia="zh-CN"/>
        </w:rPr>
        <w:t>1</w:t>
      </w:r>
      <w:r>
        <w:rPr>
          <w:rFonts w:hint="eastAsia"/>
          <w:color w:val="auto"/>
          <w:szCs w:val="32"/>
          <w:highlight w:val="none"/>
          <w:shd w:val="clear" w:color="auto" w:fill="FFFFFF"/>
          <w:lang w:val="en-US" w:eastAsia="zh-CN"/>
        </w:rPr>
        <w:t>.</w:t>
      </w:r>
      <w:r>
        <w:rPr>
          <w:rFonts w:hint="eastAsia"/>
          <w:color w:val="auto"/>
          <w:szCs w:val="32"/>
          <w:highlight w:val="none"/>
          <w:shd w:val="clear" w:color="auto" w:fill="FFFFFF"/>
        </w:rPr>
        <w:t>首期</w:t>
      </w:r>
      <w:r>
        <w:rPr>
          <w:rFonts w:hint="eastAsia" w:hAnsi="Microsoft JhengHei Light" w:cs="Microsoft JhengHei Light"/>
          <w:color w:val="auto"/>
          <w:szCs w:val="32"/>
          <w:highlight w:val="none"/>
          <w:lang w:val="en-US"/>
        </w:rPr>
        <w:t>出资拨付至基金账户后，</w:t>
      </w:r>
      <w:r>
        <w:rPr>
          <w:rFonts w:hint="default" w:ascii="Times New Roman" w:hAnsi="Times New Roman" w:cs="Times New Roman"/>
          <w:color w:val="auto"/>
          <w:sz w:val="32"/>
          <w:szCs w:val="32"/>
          <w:highlight w:val="none"/>
          <w:lang w:val="en-US"/>
        </w:rPr>
        <w:t>6</w:t>
      </w:r>
      <w:r>
        <w:rPr>
          <w:rFonts w:hint="eastAsia" w:hAnsi="Microsoft JhengHei Light" w:cs="Microsoft JhengHei Light"/>
          <w:color w:val="auto"/>
          <w:szCs w:val="32"/>
          <w:highlight w:val="none"/>
          <w:lang w:val="en-US"/>
        </w:rPr>
        <w:t>个月</w:t>
      </w:r>
      <w:r>
        <w:rPr>
          <w:rFonts w:hint="eastAsia" w:hAnsi="Microsoft JhengHei Light" w:cs="Microsoft JhengHei Light"/>
          <w:color w:val="auto"/>
          <w:szCs w:val="32"/>
          <w:highlight w:val="none"/>
          <w:lang w:val="en-US" w:eastAsia="zh-CN"/>
        </w:rPr>
        <w:t>内</w:t>
      </w:r>
      <w:r>
        <w:rPr>
          <w:rFonts w:hint="eastAsia" w:hAnsi="Microsoft JhengHei Light" w:cs="Microsoft JhengHei Light"/>
          <w:color w:val="auto"/>
          <w:szCs w:val="32"/>
          <w:highlight w:val="none"/>
          <w:lang w:val="en-US"/>
        </w:rPr>
        <w:t>未开展投资业务</w:t>
      </w:r>
      <w:r>
        <w:rPr>
          <w:rFonts w:hint="eastAsia" w:hAnsi="Microsoft JhengHei Light" w:cs="Microsoft JhengHei Light"/>
          <w:color w:val="auto"/>
          <w:szCs w:val="32"/>
          <w:highlight w:val="none"/>
          <w:lang w:val="en-US" w:eastAsia="zh-CN"/>
        </w:rPr>
        <w:t>；</w:t>
      </w:r>
    </w:p>
    <w:p w14:paraId="35581D50">
      <w:pPr>
        <w:adjustRightInd w:val="0"/>
        <w:snapToGrid w:val="0"/>
        <w:spacing w:line="560" w:lineRule="exact"/>
        <w:ind w:firstLine="640"/>
        <w:rPr>
          <w:rFonts w:hint="eastAsia" w:hAnsi="Microsoft JhengHei Light" w:cs="Microsoft JhengHei Light"/>
          <w:color w:val="auto"/>
          <w:szCs w:val="32"/>
          <w:highlight w:val="none"/>
          <w:lang w:val="en-US"/>
        </w:rPr>
      </w:pPr>
      <w:r>
        <w:rPr>
          <w:rFonts w:hint="default" w:ascii="Times New Roman" w:hAnsi="Times New Roman" w:cs="Times New Roman"/>
          <w:color w:val="auto"/>
          <w:szCs w:val="32"/>
          <w:highlight w:val="none"/>
          <w:lang w:val="en-US" w:eastAsia="zh-CN"/>
        </w:rPr>
        <w:t>2</w:t>
      </w:r>
      <w:r>
        <w:rPr>
          <w:rFonts w:hint="eastAsia" w:hAnsi="Microsoft JhengHei Light" w:cs="Microsoft JhengHei Light"/>
          <w:color w:val="auto"/>
          <w:szCs w:val="32"/>
          <w:highlight w:val="none"/>
          <w:lang w:val="en-US" w:eastAsia="zh-CN"/>
        </w:rPr>
        <w:t>.</w:t>
      </w:r>
      <w:r>
        <w:rPr>
          <w:rFonts w:hint="eastAsia" w:hAnsi="Microsoft JhengHei Light" w:cs="Microsoft JhengHei Light"/>
          <w:color w:val="auto"/>
          <w:szCs w:val="32"/>
          <w:highlight w:val="none"/>
          <w:lang w:val="en-US"/>
        </w:rPr>
        <w:t>基金未按合伙协议约定投资且未能有效整改</w:t>
      </w:r>
      <w:r>
        <w:rPr>
          <w:rFonts w:hint="eastAsia" w:hAnsi="Microsoft JhengHei Light" w:cs="Microsoft JhengHei Light"/>
          <w:color w:val="auto"/>
          <w:szCs w:val="32"/>
          <w:highlight w:val="none"/>
          <w:lang w:val="en-US" w:eastAsia="zh-CN"/>
        </w:rPr>
        <w:t>；</w:t>
      </w:r>
    </w:p>
    <w:p w14:paraId="10695FFB">
      <w:pPr>
        <w:adjustRightInd w:val="0"/>
        <w:snapToGrid w:val="0"/>
        <w:spacing w:line="560" w:lineRule="exact"/>
        <w:ind w:firstLine="640"/>
        <w:rPr>
          <w:rFonts w:hint="eastAsia" w:hAnsi="Microsoft JhengHei Light" w:cs="Microsoft JhengHei Light"/>
          <w:color w:val="auto"/>
          <w:szCs w:val="32"/>
          <w:highlight w:val="none"/>
          <w:lang w:val="en-US"/>
        </w:rPr>
      </w:pPr>
      <w:r>
        <w:rPr>
          <w:rFonts w:hint="default" w:ascii="Times New Roman" w:hAnsi="Times New Roman" w:cs="Times New Roman"/>
          <w:color w:val="auto"/>
          <w:szCs w:val="32"/>
          <w:highlight w:val="none"/>
          <w:lang w:val="en-US" w:eastAsia="zh-CN"/>
        </w:rPr>
        <w:t>3</w:t>
      </w:r>
      <w:r>
        <w:rPr>
          <w:rFonts w:hint="eastAsia" w:hAnsi="Microsoft JhengHei Light" w:cs="Microsoft JhengHei Light"/>
          <w:color w:val="auto"/>
          <w:szCs w:val="32"/>
          <w:highlight w:val="none"/>
          <w:lang w:val="en-US" w:eastAsia="zh-CN"/>
        </w:rPr>
        <w:t>.</w:t>
      </w:r>
      <w:r>
        <w:rPr>
          <w:rFonts w:hint="eastAsia" w:hAnsi="Microsoft JhengHei Light" w:cs="Microsoft JhengHei Light"/>
          <w:color w:val="auto"/>
          <w:szCs w:val="32"/>
          <w:highlight w:val="none"/>
          <w:lang w:val="en-US"/>
        </w:rPr>
        <w:t>管理机构因重大违法违规行为被依法查处</w:t>
      </w:r>
      <w:r>
        <w:rPr>
          <w:rFonts w:hint="eastAsia" w:hAnsi="Microsoft JhengHei Light" w:cs="Microsoft JhengHei Light"/>
          <w:color w:val="auto"/>
          <w:szCs w:val="32"/>
          <w:highlight w:val="none"/>
          <w:lang w:val="en-US" w:eastAsia="zh-CN"/>
        </w:rPr>
        <w:t>；</w:t>
      </w:r>
    </w:p>
    <w:p w14:paraId="02FDCE24">
      <w:pPr>
        <w:adjustRightInd w:val="0"/>
        <w:snapToGrid w:val="0"/>
        <w:spacing w:line="560" w:lineRule="exact"/>
        <w:ind w:firstLine="640"/>
        <w:rPr>
          <w:rFonts w:hint="eastAsia" w:hAnsi="Microsoft JhengHei Light" w:cs="Microsoft JhengHei Light"/>
          <w:color w:val="auto"/>
          <w:szCs w:val="32"/>
          <w:highlight w:val="none"/>
          <w:lang w:val="en-US"/>
        </w:rPr>
      </w:pPr>
      <w:r>
        <w:rPr>
          <w:rFonts w:hint="default" w:ascii="Times New Roman" w:hAnsi="Times New Roman" w:cs="Times New Roman"/>
          <w:color w:val="auto"/>
          <w:szCs w:val="32"/>
          <w:highlight w:val="none"/>
          <w:lang w:val="en-US" w:eastAsia="zh-CN"/>
        </w:rPr>
        <w:t>4</w:t>
      </w:r>
      <w:r>
        <w:rPr>
          <w:rFonts w:hint="eastAsia" w:hAnsi="Microsoft JhengHei Light" w:cs="Microsoft JhengHei Light"/>
          <w:color w:val="auto"/>
          <w:szCs w:val="32"/>
          <w:highlight w:val="none"/>
          <w:lang w:val="en-US" w:eastAsia="zh-CN"/>
        </w:rPr>
        <w:t>.</w:t>
      </w:r>
      <w:r>
        <w:rPr>
          <w:rFonts w:hint="eastAsia" w:hAnsi="Microsoft JhengHei Light" w:cs="Microsoft JhengHei Light"/>
          <w:color w:val="auto"/>
          <w:szCs w:val="32"/>
          <w:highlight w:val="none"/>
          <w:lang w:val="en-US"/>
        </w:rPr>
        <w:t>管理机构连续</w:t>
      </w:r>
      <w:r>
        <w:rPr>
          <w:rFonts w:hint="default" w:ascii="Times New Roman" w:hAnsi="Times New Roman" w:cs="Times New Roman"/>
          <w:color w:val="auto"/>
          <w:sz w:val="32"/>
          <w:szCs w:val="32"/>
          <w:highlight w:val="none"/>
          <w:lang w:val="en-US"/>
        </w:rPr>
        <w:t>2</w:t>
      </w:r>
      <w:r>
        <w:rPr>
          <w:rFonts w:hint="eastAsia" w:hAnsi="Microsoft JhengHei Light" w:cs="Microsoft JhengHei Light"/>
          <w:color w:val="auto"/>
          <w:szCs w:val="32"/>
          <w:highlight w:val="none"/>
          <w:lang w:val="en-US"/>
        </w:rPr>
        <w:t>年绩效评价不合格且整改未达标</w:t>
      </w:r>
      <w:r>
        <w:rPr>
          <w:rFonts w:hint="eastAsia" w:hAnsi="Microsoft JhengHei Light" w:cs="Microsoft JhengHei Light"/>
          <w:color w:val="auto"/>
          <w:szCs w:val="32"/>
          <w:highlight w:val="none"/>
          <w:lang w:val="en-US" w:eastAsia="zh-CN"/>
        </w:rPr>
        <w:t>；</w:t>
      </w:r>
    </w:p>
    <w:p w14:paraId="3030BFC4">
      <w:pPr>
        <w:adjustRightInd w:val="0"/>
        <w:snapToGrid w:val="0"/>
        <w:spacing w:line="560" w:lineRule="exact"/>
        <w:ind w:firstLine="640"/>
        <w:rPr>
          <w:rFonts w:hAnsi="Microsoft JhengHei Light" w:cs="Microsoft JhengHei Light"/>
          <w:color w:val="auto"/>
          <w:szCs w:val="32"/>
          <w:highlight w:val="none"/>
          <w:lang w:val="en-US"/>
        </w:rPr>
      </w:pPr>
      <w:r>
        <w:rPr>
          <w:rFonts w:hint="default" w:ascii="Times New Roman" w:hAnsi="Times New Roman" w:cs="Times New Roman"/>
          <w:color w:val="auto"/>
          <w:szCs w:val="32"/>
          <w:highlight w:val="none"/>
          <w:lang w:val="en-US" w:eastAsia="zh-CN"/>
        </w:rPr>
        <w:t>5</w:t>
      </w:r>
      <w:r>
        <w:rPr>
          <w:rFonts w:hint="eastAsia" w:hAnsi="Microsoft JhengHei Light" w:cs="Microsoft JhengHei Light"/>
          <w:color w:val="auto"/>
          <w:szCs w:val="32"/>
          <w:highlight w:val="none"/>
          <w:lang w:val="en-US" w:eastAsia="zh-CN"/>
        </w:rPr>
        <w:t>.</w:t>
      </w:r>
      <w:r>
        <w:rPr>
          <w:rFonts w:hint="eastAsia" w:hAnsi="Microsoft JhengHei Light" w:cs="Microsoft JhengHei Light"/>
          <w:color w:val="auto"/>
          <w:szCs w:val="32"/>
          <w:highlight w:val="none"/>
          <w:lang w:val="en-US"/>
        </w:rPr>
        <w:t>基金出现重大审计问题且整改未达标；</w:t>
      </w:r>
    </w:p>
    <w:p w14:paraId="0ABB1540">
      <w:pPr>
        <w:adjustRightInd w:val="0"/>
        <w:snapToGrid w:val="0"/>
        <w:spacing w:line="560" w:lineRule="exact"/>
        <w:ind w:firstLine="640"/>
        <w:rPr>
          <w:rFonts w:hint="default"/>
          <w:color w:val="auto"/>
          <w:highlight w:val="none"/>
          <w:lang w:val="en-US" w:eastAsia="zh-CN"/>
        </w:rPr>
      </w:pPr>
      <w:r>
        <w:rPr>
          <w:rFonts w:hint="default" w:ascii="Times New Roman" w:hAnsi="Times New Roman" w:cs="Times New Roman"/>
          <w:color w:val="auto"/>
          <w:szCs w:val="32"/>
          <w:highlight w:val="none"/>
          <w:lang w:val="en-US" w:eastAsia="zh-CN"/>
        </w:rPr>
        <w:t>6</w:t>
      </w:r>
      <w:r>
        <w:rPr>
          <w:rFonts w:hint="eastAsia" w:hAnsi="Microsoft JhengHei Light" w:cs="Microsoft JhengHei Light"/>
          <w:color w:val="auto"/>
          <w:szCs w:val="32"/>
          <w:highlight w:val="none"/>
          <w:lang w:val="en-US" w:eastAsia="zh-CN"/>
        </w:rPr>
        <w:t>.</w:t>
      </w:r>
      <w:r>
        <w:rPr>
          <w:rFonts w:hint="eastAsia" w:hAnsi="Microsoft JhengHei Light" w:cs="Microsoft JhengHei Light"/>
          <w:color w:val="auto"/>
          <w:szCs w:val="32"/>
          <w:highlight w:val="none"/>
          <w:lang w:val="en-US"/>
        </w:rPr>
        <w:t>其他影响</w:t>
      </w:r>
      <w:r>
        <w:rPr>
          <w:rFonts w:hint="eastAsia"/>
          <w:color w:val="auto"/>
          <w:highlight w:val="none"/>
          <w:lang w:val="en-US"/>
        </w:rPr>
        <w:t>政府投资基金</w:t>
      </w:r>
      <w:r>
        <w:rPr>
          <w:rFonts w:hint="eastAsia" w:hAnsi="Microsoft JhengHei Light" w:cs="Microsoft JhengHei Light"/>
          <w:color w:val="auto"/>
          <w:szCs w:val="32"/>
          <w:highlight w:val="none"/>
          <w:lang w:val="en-US"/>
        </w:rPr>
        <w:t>出资安全的情形。</w:t>
      </w:r>
    </w:p>
    <w:p w14:paraId="0AF262AA">
      <w:pPr>
        <w:pStyle w:val="2"/>
        <w:bidi w:val="0"/>
        <w:jc w:val="left"/>
        <w:rPr>
          <w:rFonts w:hint="eastAsia" w:ascii="Times New Roman" w:hAnsi="Times New Roman" w:cs="Times New Roman"/>
          <w:color w:val="auto"/>
          <w:lang w:val="en-US" w:eastAsia="zh-CN"/>
        </w:rPr>
      </w:pPr>
      <w:r>
        <w:rPr>
          <w:rFonts w:hint="eastAsia" w:cs="Times New Roman"/>
          <w:color w:val="auto"/>
          <w:lang w:val="en-US" w:eastAsia="zh-CN"/>
        </w:rPr>
        <w:t>四</w:t>
      </w:r>
      <w:r>
        <w:rPr>
          <w:rFonts w:hint="eastAsia" w:ascii="Times New Roman" w:hAnsi="Times New Roman" w:cs="Times New Roman"/>
          <w:color w:val="auto"/>
          <w:lang w:val="en-US" w:eastAsia="zh-CN"/>
        </w:rPr>
        <w:t>、附则</w:t>
      </w:r>
    </w:p>
    <w:p w14:paraId="295392D6">
      <w:pPr>
        <w:bidi w:val="0"/>
        <w:rPr>
          <w:rFonts w:hint="eastAsia" w:ascii="Times New Roman" w:hAnsi="Times New Roman" w:cs="Times New Roman"/>
          <w:color w:val="auto"/>
          <w:lang w:val="en-US"/>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w:t>
      </w:r>
      <w:r>
        <w:rPr>
          <w:rFonts w:hint="eastAsia" w:ascii="仿宋_GB2312" w:hAnsi="仿宋_GB2312" w:eastAsia="仿宋_GB2312" w:cs="仿宋_GB2312"/>
          <w:color w:val="auto"/>
          <w:sz w:val="32"/>
          <w:szCs w:val="32"/>
          <w:lang w:val="en-US" w:eastAsia="zh-CN"/>
        </w:rPr>
        <w:t>山西</w:t>
      </w:r>
      <w:r>
        <w:rPr>
          <w:rFonts w:hint="eastAsia" w:ascii="仿宋_GB2312" w:hAnsi="仿宋_GB2312" w:cs="仿宋_GB2312"/>
          <w:color w:val="auto"/>
          <w:sz w:val="32"/>
          <w:szCs w:val="32"/>
          <w:lang w:val="en-US" w:eastAsia="zh-CN"/>
        </w:rPr>
        <w:t>产投</w:t>
      </w:r>
      <w:r>
        <w:rPr>
          <w:rFonts w:hint="eastAsia" w:ascii="仿宋_GB2312" w:hAnsi="仿宋_GB2312" w:eastAsia="仿宋_GB2312" w:cs="仿宋_GB2312"/>
          <w:color w:val="auto"/>
          <w:sz w:val="32"/>
          <w:szCs w:val="32"/>
          <w:lang w:val="en-US" w:eastAsia="zh-CN"/>
        </w:rPr>
        <w:t>资本管理有限公司</w:t>
      </w:r>
      <w:r>
        <w:rPr>
          <w:rFonts w:hint="eastAsia" w:ascii="Times New Roman" w:hAnsi="Times New Roman" w:cs="Times New Roman"/>
          <w:color w:val="auto"/>
          <w:lang w:val="en-US"/>
        </w:rPr>
        <w:t>承诺对接收的报送材料保密，除非该等信息于披露时属于可公开获取的信息或因相关法律规定而必须披露的信息。</w:t>
      </w:r>
    </w:p>
    <w:p w14:paraId="0A7E6C88">
      <w:pPr>
        <w:bidi w:val="0"/>
        <w:rPr>
          <w:rFonts w:hint="eastAsia" w:ascii="Times New Roman" w:hAnsi="Times New Roman" w:cs="Times New Roman"/>
          <w:color w:val="auto"/>
          <w:lang w:val="en-US"/>
        </w:rPr>
      </w:pP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w:t>
      </w:r>
      <w:r>
        <w:rPr>
          <w:rFonts w:hint="eastAsia"/>
          <w:color w:val="auto"/>
          <w:lang w:val="en-US"/>
        </w:rPr>
        <w:t>山西</w:t>
      </w:r>
      <w:r>
        <w:rPr>
          <w:rFonts w:hint="eastAsia"/>
          <w:color w:val="auto"/>
          <w:lang w:val="en-US" w:eastAsia="zh-CN"/>
        </w:rPr>
        <w:t>产投</w:t>
      </w:r>
      <w:r>
        <w:rPr>
          <w:rFonts w:hint="eastAsia"/>
          <w:color w:val="auto"/>
          <w:lang w:val="en-US"/>
        </w:rPr>
        <w:t>资本管理有限公司</w:t>
      </w:r>
      <w:r>
        <w:rPr>
          <w:rFonts w:hint="eastAsia" w:ascii="Times New Roman" w:hAnsi="Times New Roman" w:cs="Times New Roman"/>
          <w:color w:val="auto"/>
          <w:lang w:val="en-US"/>
        </w:rPr>
        <w:t>对各申报单位提交的申报材料</w:t>
      </w:r>
      <w:r>
        <w:rPr>
          <w:rFonts w:hint="eastAsia" w:cs="Times New Roman"/>
          <w:color w:val="auto"/>
          <w:lang w:val="en-US" w:eastAsia="zh-CN"/>
        </w:rPr>
        <w:t>及按要求提供的反馈材料，均</w:t>
      </w:r>
      <w:r>
        <w:rPr>
          <w:rFonts w:hint="eastAsia" w:ascii="Times New Roman" w:hAnsi="Times New Roman" w:cs="Times New Roman"/>
          <w:color w:val="auto"/>
          <w:lang w:val="en-US"/>
        </w:rPr>
        <w:t>不予退回；对未进入下一环节或未中选</w:t>
      </w:r>
      <w:r>
        <w:rPr>
          <w:rFonts w:hint="eastAsia" w:cs="Times New Roman"/>
          <w:color w:val="auto"/>
          <w:lang w:val="en-US" w:eastAsia="zh-CN"/>
        </w:rPr>
        <w:t>的</w:t>
      </w:r>
      <w:r>
        <w:rPr>
          <w:rFonts w:hint="eastAsia" w:ascii="Times New Roman" w:hAnsi="Times New Roman" w:cs="Times New Roman"/>
          <w:color w:val="auto"/>
          <w:lang w:val="en-US"/>
        </w:rPr>
        <w:t>申报单位不另行通知。</w:t>
      </w:r>
    </w:p>
    <w:p w14:paraId="653CB957">
      <w:pPr>
        <w:bidi w:val="0"/>
        <w:rPr>
          <w:rFonts w:hint="eastAsia" w:ascii="Times New Roman" w:hAnsi="Times New Roman" w:cs="Times New Roman"/>
          <w:color w:val="auto"/>
          <w:lang w:val="en-US"/>
        </w:rPr>
      </w:pPr>
      <w:r>
        <w:rPr>
          <w:rFonts w:hint="default" w:ascii="Times New Roman" w:hAnsi="Times New Roman" w:cs="Times New Roman"/>
          <w:color w:val="auto"/>
          <w:lang w:val="en-US" w:eastAsia="zh-CN"/>
        </w:rPr>
        <w:t>3</w:t>
      </w:r>
      <w:r>
        <w:rPr>
          <w:rFonts w:hint="eastAsia" w:ascii="Times New Roman" w:hAnsi="Times New Roman" w:cs="Times New Roman"/>
          <w:color w:val="auto"/>
          <w:lang w:val="en-US" w:eastAsia="zh-CN"/>
        </w:rPr>
        <w:t>.</w:t>
      </w:r>
      <w:r>
        <w:rPr>
          <w:rFonts w:hint="eastAsia" w:ascii="Times New Roman" w:hAnsi="Times New Roman" w:cs="Times New Roman"/>
          <w:color w:val="auto"/>
          <w:lang w:val="en-US"/>
        </w:rPr>
        <w:t>本</w:t>
      </w:r>
      <w:r>
        <w:rPr>
          <w:color w:val="auto"/>
          <w:lang w:val="en-US"/>
        </w:rPr>
        <w:t>申报指南</w:t>
      </w:r>
      <w:r>
        <w:rPr>
          <w:rFonts w:hint="eastAsia" w:ascii="Times New Roman" w:hAnsi="Times New Roman" w:cs="Times New Roman"/>
          <w:color w:val="auto"/>
          <w:lang w:val="en-US"/>
        </w:rPr>
        <w:t>（含附件）由</w:t>
      </w:r>
      <w:r>
        <w:rPr>
          <w:rFonts w:hint="eastAsia" w:ascii="仿宋_GB2312" w:hAnsi="仿宋_GB2312" w:eastAsia="仿宋_GB2312" w:cs="仿宋_GB2312"/>
          <w:color w:val="auto"/>
          <w:sz w:val="32"/>
          <w:szCs w:val="32"/>
          <w:lang w:val="en-US" w:eastAsia="zh-CN"/>
        </w:rPr>
        <w:t>山西</w:t>
      </w:r>
      <w:r>
        <w:rPr>
          <w:rFonts w:hint="eastAsia" w:ascii="仿宋_GB2312" w:hAnsi="仿宋_GB2312" w:cs="仿宋_GB2312"/>
          <w:color w:val="auto"/>
          <w:sz w:val="32"/>
          <w:szCs w:val="32"/>
          <w:lang w:val="en-US" w:eastAsia="zh-CN"/>
        </w:rPr>
        <w:t>产投</w:t>
      </w:r>
      <w:r>
        <w:rPr>
          <w:rFonts w:hint="eastAsia" w:ascii="仿宋_GB2312" w:hAnsi="仿宋_GB2312" w:eastAsia="仿宋_GB2312" w:cs="仿宋_GB2312"/>
          <w:color w:val="auto"/>
          <w:sz w:val="32"/>
          <w:szCs w:val="32"/>
          <w:lang w:val="en-US" w:eastAsia="zh-CN"/>
        </w:rPr>
        <w:t>资本管理有限公司</w:t>
      </w:r>
      <w:r>
        <w:rPr>
          <w:rFonts w:hint="eastAsia" w:ascii="Times New Roman" w:hAnsi="Times New Roman" w:cs="Times New Roman"/>
          <w:color w:val="auto"/>
          <w:lang w:val="en-US"/>
        </w:rPr>
        <w:t>解释。</w:t>
      </w:r>
    </w:p>
    <w:p w14:paraId="066B10C1">
      <w:pPr>
        <w:adjustRightInd w:val="0"/>
        <w:snapToGrid w:val="0"/>
        <w:spacing w:line="560" w:lineRule="exact"/>
        <w:ind w:firstLine="640"/>
        <w:rPr>
          <w:rFonts w:hint="eastAsia" w:ascii="Times New Roman" w:hAnsi="Times New Roman" w:cs="Times New Roman"/>
          <w:color w:val="auto"/>
          <w:lang w:val="en-US"/>
        </w:rPr>
      </w:pPr>
    </w:p>
    <w:p w14:paraId="546E633A">
      <w:pPr>
        <w:adjustRightInd w:val="0"/>
        <w:snapToGrid w:val="0"/>
        <w:spacing w:line="560" w:lineRule="exact"/>
        <w:ind w:firstLine="640"/>
        <w:rPr>
          <w:rFonts w:hint="eastAsia" w:ascii="Times New Roman" w:hAnsi="Times New Roman" w:cs="Times New Roman"/>
          <w:color w:val="auto"/>
          <w:lang w:val="en-US"/>
        </w:rPr>
      </w:pPr>
      <w:r>
        <w:rPr>
          <w:rFonts w:hint="eastAsia" w:ascii="Times New Roman" w:hAnsi="Times New Roman" w:cs="Times New Roman"/>
          <w:color w:val="auto"/>
          <w:lang w:val="en-US"/>
        </w:rPr>
        <w:t>附件：</w:t>
      </w:r>
      <w:r>
        <w:rPr>
          <w:rFonts w:hint="default" w:ascii="Times New Roman" w:hAnsi="Times New Roman" w:cs="Times New Roman"/>
          <w:color w:val="auto"/>
          <w:sz w:val="32"/>
          <w:szCs w:val="32"/>
          <w:lang w:val="en-US"/>
        </w:rPr>
        <w:t>1</w:t>
      </w:r>
      <w:r>
        <w:rPr>
          <w:rFonts w:hint="eastAsia" w:ascii="Times New Roman" w:hAnsi="Times New Roman" w:cs="Times New Roman"/>
          <w:color w:val="auto"/>
          <w:lang w:val="en-US"/>
        </w:rPr>
        <w:t>.申报材料编制及报送说明</w:t>
      </w:r>
    </w:p>
    <w:p w14:paraId="29E17ADE">
      <w:pPr>
        <w:adjustRightInd w:val="0"/>
        <w:snapToGrid w:val="0"/>
        <w:spacing w:line="560" w:lineRule="exact"/>
        <w:ind w:firstLine="1600" w:firstLineChars="500"/>
        <w:rPr>
          <w:rFonts w:hint="eastAsia" w:ascii="Times New Roman" w:hAnsi="Times New Roman" w:cs="Times New Roman"/>
          <w:color w:val="auto"/>
          <w:lang w:val="en-US"/>
        </w:rPr>
      </w:pPr>
      <w:r>
        <w:rPr>
          <w:rFonts w:hint="default" w:ascii="Times New Roman" w:hAnsi="Times New Roman" w:cs="Times New Roman"/>
          <w:color w:val="auto"/>
          <w:sz w:val="32"/>
          <w:szCs w:val="32"/>
          <w:lang w:val="en-US"/>
        </w:rPr>
        <w:t>2</w:t>
      </w:r>
      <w:r>
        <w:rPr>
          <w:rFonts w:hint="eastAsia" w:ascii="Times New Roman" w:hAnsi="Times New Roman" w:cs="Times New Roman"/>
          <w:color w:val="auto"/>
          <w:lang w:val="en-US"/>
        </w:rPr>
        <w:t>.申报材料封面及顺序目录</w:t>
      </w:r>
    </w:p>
    <w:p w14:paraId="4A336579">
      <w:pPr>
        <w:adjustRightInd w:val="0"/>
        <w:snapToGrid w:val="0"/>
        <w:spacing w:line="560" w:lineRule="exact"/>
        <w:ind w:firstLine="1600" w:firstLineChars="500"/>
        <w:rPr>
          <w:rFonts w:hint="eastAsia" w:ascii="Times New Roman" w:hAnsi="Times New Roman" w:eastAsia="仿宋_GB2312" w:cs="Times New Roman"/>
          <w:color w:val="auto"/>
          <w:lang w:val="en-US" w:eastAsia="zh-CN"/>
        </w:rPr>
      </w:pPr>
      <w:r>
        <w:rPr>
          <w:rFonts w:hint="default" w:ascii="Times New Roman" w:hAnsi="Times New Roman" w:cs="Times New Roman"/>
          <w:color w:val="auto"/>
          <w:sz w:val="32"/>
          <w:szCs w:val="32"/>
          <w:lang w:val="en-US"/>
        </w:rPr>
        <w:t>3</w:t>
      </w:r>
      <w:r>
        <w:rPr>
          <w:rFonts w:hint="eastAsia" w:ascii="Times New Roman" w:hAnsi="Times New Roman" w:cs="Times New Roman"/>
          <w:color w:val="auto"/>
          <w:lang w:val="en-US"/>
        </w:rPr>
        <w:t>.申报材料承诺书、声明函、授权书</w:t>
      </w:r>
      <w:r>
        <w:rPr>
          <w:rFonts w:hint="eastAsia" w:ascii="Times New Roman" w:hAnsi="Times New Roman" w:cs="Times New Roman"/>
          <w:color w:val="auto"/>
          <w:lang w:val="en-US" w:eastAsia="zh-CN"/>
        </w:rPr>
        <w:t>模板</w:t>
      </w:r>
    </w:p>
    <w:p w14:paraId="30C8B018">
      <w:pPr>
        <w:adjustRightInd w:val="0"/>
        <w:snapToGrid w:val="0"/>
        <w:spacing w:line="560" w:lineRule="exact"/>
        <w:ind w:firstLine="1600" w:firstLineChars="500"/>
        <w:rPr>
          <w:rFonts w:hint="eastAsia" w:ascii="Times New Roman" w:hAnsi="Times New Roman" w:cs="Times New Roman"/>
          <w:color w:val="auto"/>
          <w:lang w:val="en-US"/>
        </w:rPr>
      </w:pPr>
      <w:r>
        <w:rPr>
          <w:rFonts w:hint="default" w:ascii="Times New Roman" w:hAnsi="Times New Roman" w:cs="Times New Roman"/>
          <w:color w:val="auto"/>
          <w:sz w:val="32"/>
          <w:szCs w:val="32"/>
          <w:lang w:val="en-US"/>
        </w:rPr>
        <w:t>4</w:t>
      </w:r>
      <w:r>
        <w:rPr>
          <w:rFonts w:hint="eastAsia" w:ascii="Times New Roman" w:hAnsi="Times New Roman" w:cs="Times New Roman"/>
          <w:color w:val="auto"/>
          <w:lang w:val="en-US"/>
        </w:rPr>
        <w:t>.申报材料附表模板</w:t>
      </w:r>
    </w:p>
    <w:sectPr>
      <w:headerReference r:id="rId5" w:type="default"/>
      <w:footerReference r:id="rId6" w:type="default"/>
      <w:pgSz w:w="11910" w:h="16840"/>
      <w:pgMar w:top="2098" w:right="1474" w:bottom="1984" w:left="1474" w:header="0" w:footer="139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91DDA1-07FD-4F7F-B5DD-0B05BAABB2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3F26A6-ACAD-4C0B-9FF6-8B4674680686}"/>
  </w:font>
  <w:font w:name="仿宋_GB2312">
    <w:panose1 w:val="02010609030101010101"/>
    <w:charset w:val="86"/>
    <w:family w:val="auto"/>
    <w:pitch w:val="default"/>
    <w:sig w:usb0="00000001" w:usb1="080E0000" w:usb2="00000000" w:usb3="00000000" w:csb0="00040000" w:csb1="00000000"/>
    <w:embedRegular r:id="rId3" w:fontKey="{7A2D5A2D-0B92-44CF-90AC-835BD0972E6F}"/>
  </w:font>
  <w:font w:name="楷体_GB2312">
    <w:panose1 w:val="02010609030101010101"/>
    <w:charset w:val="86"/>
    <w:family w:val="modern"/>
    <w:pitch w:val="default"/>
    <w:sig w:usb0="00000001" w:usb1="080E0000" w:usb2="00000000" w:usb3="00000000" w:csb0="00040000" w:csb1="00000000"/>
    <w:embedRegular r:id="rId4" w:fontKey="{83C52F52-5F4F-47C0-BB8B-4A4C1FB8DBF7}"/>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5" w:fontKey="{8E289BB6-E171-4AD7-93CC-78C7ED735BC7}"/>
  </w:font>
  <w:font w:name="Microsoft JhengHei Light">
    <w:panose1 w:val="020B0304030504040204"/>
    <w:charset w:val="88"/>
    <w:family w:val="swiss"/>
    <w:pitch w:val="default"/>
    <w:sig w:usb0="800002A7" w:usb1="28CF4400" w:usb2="00000016" w:usb3="00000000" w:csb0="00100009" w:csb1="00000000"/>
    <w:embedRegular r:id="rId6" w:fontKey="{E5A9D76C-53BB-4D65-A6C0-545D3F8B2ABB}"/>
  </w:font>
  <w:font w:name="Tahoma">
    <w:panose1 w:val="020B0604030504040204"/>
    <w:charset w:val="00"/>
    <w:family w:val="auto"/>
    <w:pitch w:val="default"/>
    <w:sig w:usb0="E1002EFF" w:usb1="C000605B" w:usb2="00000029" w:usb3="00000000" w:csb0="200101FF" w:csb1="20280000"/>
    <w:embedRegular r:id="rId7" w:fontKey="{79413458-35D3-4A64-A96B-F6CDCFCA11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557AC">
    <w:pPr>
      <w:pStyle w:val="8"/>
      <w:spacing w:line="14" w:lineRule="auto"/>
      <w:ind w:left="0" w:firstLine="640"/>
      <w:rPr>
        <w:rFonts w:hint="eastAsia"/>
        <w:sz w:val="20"/>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-65405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896C2">
                          <w:pPr>
                            <w:pStyle w:val="10"/>
                            <w:rPr>
                              <w:rFonts w:hint="default" w:ascii="Tahoma" w:hAnsi="Tahoma" w:cs="Tahoma"/>
                              <w:sz w:val="24"/>
                              <w:szCs w:val="24"/>
                            </w:rPr>
                          </w:pPr>
                          <w:r>
                            <w:rPr>
                              <w:rFonts w:hint="default" w:ascii="Tahoma" w:hAnsi="Tahoma" w:cs="Tahoma"/>
                              <w:sz w:val="24"/>
                              <w:szCs w:val="24"/>
                            </w:rPr>
                            <w:t xml:space="preserve">— </w:t>
                          </w:r>
                          <w:r>
                            <w:rPr>
                              <w:rFonts w:hint="default" w:ascii="Tahoma" w:hAnsi="Tahoma" w:cs="Tahoma"/>
                              <w:sz w:val="24"/>
                              <w:szCs w:val="24"/>
                            </w:rPr>
                            <w:fldChar w:fldCharType="begin"/>
                          </w:r>
                          <w:r>
                            <w:rPr>
                              <w:rFonts w:hint="default" w:ascii="Tahoma" w:hAnsi="Tahoma" w:cs="Tahoma"/>
                              <w:sz w:val="24"/>
                              <w:szCs w:val="24"/>
                            </w:rPr>
                            <w:instrText xml:space="preserve"> PAGE  \* MERGEFORMAT </w:instrText>
                          </w:r>
                          <w:r>
                            <w:rPr>
                              <w:rFonts w:hint="default" w:ascii="Tahoma" w:hAnsi="Tahoma" w:cs="Tahoma"/>
                              <w:sz w:val="24"/>
                              <w:szCs w:val="24"/>
                            </w:rPr>
                            <w:fldChar w:fldCharType="separate"/>
                          </w:r>
                          <w:r>
                            <w:rPr>
                              <w:rFonts w:hint="default" w:ascii="Tahoma" w:hAnsi="Tahoma" w:cs="Tahoma"/>
                              <w:sz w:val="24"/>
                              <w:szCs w:val="24"/>
                            </w:rPr>
                            <w:t>1</w:t>
                          </w:r>
                          <w:r>
                            <w:rPr>
                              <w:rFonts w:hint="default" w:ascii="Tahoma" w:hAnsi="Tahoma" w:cs="Tahoma"/>
                              <w:sz w:val="24"/>
                              <w:szCs w:val="24"/>
                            </w:rPr>
                            <w:fldChar w:fldCharType="end"/>
                          </w:r>
                          <w:r>
                            <w:rPr>
                              <w:rFonts w:hint="default" w:ascii="Tahoma" w:hAnsi="Tahoma" w:cs="Tahom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15pt;height:144pt;width:144pt;mso-position-horizontal:outside;mso-position-horizontal-relative:margin;mso-wrap-style:none;z-index:251660288;mso-width-relative:page;mso-height-relative:page;" filled="f" stroked="f" coordsize="21600,21600" o:gfxdata="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zSgWh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18C896C2">
                    <w:pPr>
                      <w:pStyle w:val="10"/>
                      <w:rPr>
                        <w:rFonts w:hint="default" w:ascii="Tahoma" w:hAnsi="Tahoma" w:cs="Tahoma"/>
                        <w:sz w:val="24"/>
                        <w:szCs w:val="24"/>
                      </w:rPr>
                    </w:pPr>
                    <w:r>
                      <w:rPr>
                        <w:rFonts w:hint="default" w:ascii="Tahoma" w:hAnsi="Tahoma" w:cs="Tahoma"/>
                        <w:sz w:val="24"/>
                        <w:szCs w:val="24"/>
                      </w:rPr>
                      <w:t xml:space="preserve">— </w:t>
                    </w:r>
                    <w:r>
                      <w:rPr>
                        <w:rFonts w:hint="default" w:ascii="Tahoma" w:hAnsi="Tahoma" w:cs="Tahoma"/>
                        <w:sz w:val="24"/>
                        <w:szCs w:val="24"/>
                      </w:rPr>
                      <w:fldChar w:fldCharType="begin"/>
                    </w:r>
                    <w:r>
                      <w:rPr>
                        <w:rFonts w:hint="default" w:ascii="Tahoma" w:hAnsi="Tahoma" w:cs="Tahoma"/>
                        <w:sz w:val="24"/>
                        <w:szCs w:val="24"/>
                      </w:rPr>
                      <w:instrText xml:space="preserve"> PAGE  \* MERGEFORMAT </w:instrText>
                    </w:r>
                    <w:r>
                      <w:rPr>
                        <w:rFonts w:hint="default" w:ascii="Tahoma" w:hAnsi="Tahoma" w:cs="Tahoma"/>
                        <w:sz w:val="24"/>
                        <w:szCs w:val="24"/>
                      </w:rPr>
                      <w:fldChar w:fldCharType="separate"/>
                    </w:r>
                    <w:r>
                      <w:rPr>
                        <w:rFonts w:hint="default" w:ascii="Tahoma" w:hAnsi="Tahoma" w:cs="Tahoma"/>
                        <w:sz w:val="24"/>
                        <w:szCs w:val="24"/>
                      </w:rPr>
                      <w:t>1</w:t>
                    </w:r>
                    <w:r>
                      <w:rPr>
                        <w:rFonts w:hint="default" w:ascii="Tahoma" w:hAnsi="Tahoma" w:cs="Tahoma"/>
                        <w:sz w:val="24"/>
                        <w:szCs w:val="24"/>
                      </w:rPr>
                      <w:fldChar w:fldCharType="end"/>
                    </w:r>
                    <w:r>
                      <w:rPr>
                        <w:rFonts w:hint="default" w:ascii="Tahoma" w:hAnsi="Tahoma" w:cs="Tahoma"/>
                        <w:sz w:val="24"/>
                        <w:szCs w:val="24"/>
                      </w:rPr>
                      <w:t xml:space="preserve"> —</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1351280</wp:posOffset>
              </wp:positionH>
              <wp:positionV relativeFrom="page">
                <wp:posOffset>9466580</wp:posOffset>
              </wp:positionV>
              <wp:extent cx="114935"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203835"/>
                      </a:xfrm>
                      <a:prstGeom prst="rect">
                        <a:avLst/>
                      </a:prstGeom>
                      <a:noFill/>
                      <a:ln>
                        <a:noFill/>
                      </a:ln>
                      <a:effectLst/>
                    </wps:spPr>
                    <wps:txbx>
                      <w:txbxContent>
                        <w:p w14:paraId="75FFAFD7">
                          <w:pPr>
                            <w:spacing w:line="321" w:lineRule="exact"/>
                            <w:ind w:left="20" w:firstLine="560"/>
                            <w:jc w:val="left"/>
                            <w:rPr>
                              <w:rFonts w:hint="eastAsia" w:ascii="宋体"/>
                              <w:sz w:val="28"/>
                            </w:rPr>
                          </w:pPr>
                          <w:r>
                            <w:rPr>
                              <w:rFonts w:ascii="宋体"/>
                              <w:sz w:val="28"/>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06.4pt;margin-top:745.4pt;height:16.05pt;width:9.05pt;mso-position-horizontal-relative:page;mso-position-vertical-relative:page;z-index:-251657216;mso-width-relative:page;mso-height-relative:page;" filled="f" stroked="f" coordsize="21600,21600" o:gfxdata="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mv6w7aAAAADQEAAA8A&#10;AAAAAAAAAQAgAAAAIgAAAGRycy9kb3ducmV2LnhtbFBLAQIUABQAAAAIAIdO4kDAA3+u3AEAALID&#10;AAAOAAAAAAAAAAEAIAAAACkBAABkcnMvZTJvRG9jLnhtbFBLBQYAAAAABgAGAFkBAAB3BQAAAAA=&#10;">
              <v:fill on="f" focussize="0,0"/>
              <v:stroke on="f"/>
              <v:imagedata o:title=""/>
              <o:lock v:ext="edit" aspectratio="f"/>
              <v:textbox inset="0mm,0mm,0mm,0mm">
                <w:txbxContent>
                  <w:p w14:paraId="75FFAFD7">
                    <w:pPr>
                      <w:spacing w:line="321" w:lineRule="exact"/>
                      <w:ind w:left="20" w:firstLine="560"/>
                      <w:jc w:val="left"/>
                      <w:rPr>
                        <w:rFonts w:hint="eastAsia" w:ascii="宋体"/>
                        <w:sz w:val="28"/>
                      </w:rPr>
                    </w:pPr>
                    <w:r>
                      <w:rPr>
                        <w:rFonts w:ascii="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40"/>
      </w:pPr>
      <w:r>
        <w:separator/>
      </w:r>
    </w:p>
  </w:footnote>
  <w:footnote w:type="continuationSeparator" w:id="3">
    <w:p>
      <w:pPr>
        <w:spacing w:line="240" w:lineRule="auto"/>
        <w:ind w:firstLine="640"/>
      </w:pPr>
      <w:r>
        <w:continuationSeparator/>
      </w:r>
    </w:p>
  </w:footnote>
  <w:footnote w:id="0">
    <w:p w14:paraId="68BB0113">
      <w:pPr>
        <w:keepNext w:val="0"/>
        <w:keepLines w:val="0"/>
        <w:widowControl/>
        <w:suppressLineNumbers w:val="0"/>
        <w:jc w:val="left"/>
      </w:pPr>
      <w:r>
        <w:rPr>
          <w:rStyle w:val="21"/>
        </w:rPr>
        <w:footnoteRef/>
      </w:r>
      <w:r>
        <w:t xml:space="preserve"> </w:t>
      </w:r>
      <w:r>
        <w:rPr>
          <w:rFonts w:hint="default" w:ascii="Times New Roman" w:hAnsi="Times New Roman" w:eastAsia="宋体" w:cs="Times New Roman"/>
          <w:kern w:val="0"/>
          <w:sz w:val="24"/>
          <w:szCs w:val="24"/>
          <w:lang w:val="en-US" w:eastAsia="zh-CN" w:bidi="ar"/>
        </w:rPr>
        <w:t>DPI为投入资本分红率=已分配给投资者的现金/投资者的总投入资本*100%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7901">
    <w:pPr>
      <w:pStyle w:val="11"/>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zZWQ2NjVlMTQ4ZmE3MTEwYzM5MTNlMWEzODUyOGQifQ=="/>
  </w:docVars>
  <w:rsids>
    <w:rsidRoot w:val="7CBF37E0"/>
    <w:rsid w:val="00005AA0"/>
    <w:rsid w:val="00012C45"/>
    <w:rsid w:val="00017D46"/>
    <w:rsid w:val="000237D7"/>
    <w:rsid w:val="00027E9F"/>
    <w:rsid w:val="000371F4"/>
    <w:rsid w:val="000419E6"/>
    <w:rsid w:val="000460A3"/>
    <w:rsid w:val="000515D2"/>
    <w:rsid w:val="000569FD"/>
    <w:rsid w:val="00070786"/>
    <w:rsid w:val="000776ED"/>
    <w:rsid w:val="0008431B"/>
    <w:rsid w:val="0009035A"/>
    <w:rsid w:val="000954BE"/>
    <w:rsid w:val="0009568E"/>
    <w:rsid w:val="000B03D5"/>
    <w:rsid w:val="000B2133"/>
    <w:rsid w:val="000C29F4"/>
    <w:rsid w:val="000C2D10"/>
    <w:rsid w:val="000D2EA1"/>
    <w:rsid w:val="000D7CB6"/>
    <w:rsid w:val="000E15A0"/>
    <w:rsid w:val="000F29D5"/>
    <w:rsid w:val="000F3B0E"/>
    <w:rsid w:val="000F4E4B"/>
    <w:rsid w:val="000F5F56"/>
    <w:rsid w:val="001013E4"/>
    <w:rsid w:val="001022DE"/>
    <w:rsid w:val="00105F71"/>
    <w:rsid w:val="00106A9B"/>
    <w:rsid w:val="00115FAC"/>
    <w:rsid w:val="001217FD"/>
    <w:rsid w:val="001238FC"/>
    <w:rsid w:val="0014068F"/>
    <w:rsid w:val="00142101"/>
    <w:rsid w:val="00144C4F"/>
    <w:rsid w:val="0014509E"/>
    <w:rsid w:val="00145751"/>
    <w:rsid w:val="00155528"/>
    <w:rsid w:val="00156E96"/>
    <w:rsid w:val="0016129E"/>
    <w:rsid w:val="00172B65"/>
    <w:rsid w:val="00173B9A"/>
    <w:rsid w:val="00181814"/>
    <w:rsid w:val="00182C36"/>
    <w:rsid w:val="00182FAF"/>
    <w:rsid w:val="00183F57"/>
    <w:rsid w:val="0018622E"/>
    <w:rsid w:val="00187FCF"/>
    <w:rsid w:val="00190017"/>
    <w:rsid w:val="00191AAF"/>
    <w:rsid w:val="001924D9"/>
    <w:rsid w:val="00194801"/>
    <w:rsid w:val="001A0D02"/>
    <w:rsid w:val="001A2DB8"/>
    <w:rsid w:val="001A45B9"/>
    <w:rsid w:val="001A4A1F"/>
    <w:rsid w:val="001B00BA"/>
    <w:rsid w:val="001B1922"/>
    <w:rsid w:val="001B204C"/>
    <w:rsid w:val="001B5AD5"/>
    <w:rsid w:val="001B6DCB"/>
    <w:rsid w:val="001B7A65"/>
    <w:rsid w:val="001C0EE2"/>
    <w:rsid w:val="001C14F7"/>
    <w:rsid w:val="001C43DA"/>
    <w:rsid w:val="001C6DA8"/>
    <w:rsid w:val="001D030B"/>
    <w:rsid w:val="001D317F"/>
    <w:rsid w:val="001D41D5"/>
    <w:rsid w:val="001D6D28"/>
    <w:rsid w:val="001D7033"/>
    <w:rsid w:val="001E4298"/>
    <w:rsid w:val="001F17C9"/>
    <w:rsid w:val="001F2093"/>
    <w:rsid w:val="001F3953"/>
    <w:rsid w:val="002146B0"/>
    <w:rsid w:val="002215C1"/>
    <w:rsid w:val="00232494"/>
    <w:rsid w:val="00242C6D"/>
    <w:rsid w:val="00242DBA"/>
    <w:rsid w:val="00247AF0"/>
    <w:rsid w:val="00250F2B"/>
    <w:rsid w:val="002535A9"/>
    <w:rsid w:val="002613E5"/>
    <w:rsid w:val="00262DBA"/>
    <w:rsid w:val="00276B10"/>
    <w:rsid w:val="0027789C"/>
    <w:rsid w:val="00286D95"/>
    <w:rsid w:val="002878EF"/>
    <w:rsid w:val="00292B75"/>
    <w:rsid w:val="002A21B4"/>
    <w:rsid w:val="002A5AE0"/>
    <w:rsid w:val="002B125D"/>
    <w:rsid w:val="002B5700"/>
    <w:rsid w:val="002C28E5"/>
    <w:rsid w:val="002C47C5"/>
    <w:rsid w:val="002D2BBE"/>
    <w:rsid w:val="002D383F"/>
    <w:rsid w:val="002E1F0B"/>
    <w:rsid w:val="002F13BD"/>
    <w:rsid w:val="0030239C"/>
    <w:rsid w:val="003031E2"/>
    <w:rsid w:val="0031188A"/>
    <w:rsid w:val="00313B13"/>
    <w:rsid w:val="003246CA"/>
    <w:rsid w:val="00330DA3"/>
    <w:rsid w:val="00333139"/>
    <w:rsid w:val="00337CB2"/>
    <w:rsid w:val="0034016B"/>
    <w:rsid w:val="00352CB7"/>
    <w:rsid w:val="003550AC"/>
    <w:rsid w:val="003609CB"/>
    <w:rsid w:val="0036129C"/>
    <w:rsid w:val="00361F5C"/>
    <w:rsid w:val="00364D3B"/>
    <w:rsid w:val="0036681D"/>
    <w:rsid w:val="00371CD4"/>
    <w:rsid w:val="003721F5"/>
    <w:rsid w:val="0037298D"/>
    <w:rsid w:val="00375C7D"/>
    <w:rsid w:val="00376AF2"/>
    <w:rsid w:val="00383593"/>
    <w:rsid w:val="003846CB"/>
    <w:rsid w:val="00396C91"/>
    <w:rsid w:val="003A376D"/>
    <w:rsid w:val="003B1C43"/>
    <w:rsid w:val="003B2039"/>
    <w:rsid w:val="003B4A89"/>
    <w:rsid w:val="003D221B"/>
    <w:rsid w:val="003E22B2"/>
    <w:rsid w:val="003F24DA"/>
    <w:rsid w:val="003F5A5F"/>
    <w:rsid w:val="00403D6E"/>
    <w:rsid w:val="00406181"/>
    <w:rsid w:val="00410EEC"/>
    <w:rsid w:val="004137B0"/>
    <w:rsid w:val="00415581"/>
    <w:rsid w:val="004170FE"/>
    <w:rsid w:val="00417624"/>
    <w:rsid w:val="00417920"/>
    <w:rsid w:val="00421D19"/>
    <w:rsid w:val="00422A0A"/>
    <w:rsid w:val="00424488"/>
    <w:rsid w:val="00426A5C"/>
    <w:rsid w:val="00437382"/>
    <w:rsid w:val="00442A41"/>
    <w:rsid w:val="00451458"/>
    <w:rsid w:val="00453A68"/>
    <w:rsid w:val="00460912"/>
    <w:rsid w:val="00461CC4"/>
    <w:rsid w:val="00462654"/>
    <w:rsid w:val="00470C93"/>
    <w:rsid w:val="004734E1"/>
    <w:rsid w:val="0047603C"/>
    <w:rsid w:val="00483235"/>
    <w:rsid w:val="00484D72"/>
    <w:rsid w:val="004856B4"/>
    <w:rsid w:val="00491E43"/>
    <w:rsid w:val="00494767"/>
    <w:rsid w:val="004A184D"/>
    <w:rsid w:val="004B003C"/>
    <w:rsid w:val="004B079F"/>
    <w:rsid w:val="004B5B38"/>
    <w:rsid w:val="004B5EF8"/>
    <w:rsid w:val="004C3410"/>
    <w:rsid w:val="004C4960"/>
    <w:rsid w:val="004C5500"/>
    <w:rsid w:val="004E1345"/>
    <w:rsid w:val="004E613B"/>
    <w:rsid w:val="004F22DE"/>
    <w:rsid w:val="004F3F03"/>
    <w:rsid w:val="004F4A13"/>
    <w:rsid w:val="005016AD"/>
    <w:rsid w:val="00504583"/>
    <w:rsid w:val="005107D1"/>
    <w:rsid w:val="005236E4"/>
    <w:rsid w:val="005269E6"/>
    <w:rsid w:val="00532E3D"/>
    <w:rsid w:val="005368B3"/>
    <w:rsid w:val="005443B9"/>
    <w:rsid w:val="00544D00"/>
    <w:rsid w:val="00550D2E"/>
    <w:rsid w:val="00574C8D"/>
    <w:rsid w:val="00585FF4"/>
    <w:rsid w:val="00594B83"/>
    <w:rsid w:val="00597B56"/>
    <w:rsid w:val="005A2222"/>
    <w:rsid w:val="005A74FF"/>
    <w:rsid w:val="005B08CC"/>
    <w:rsid w:val="005B3594"/>
    <w:rsid w:val="005B4D0F"/>
    <w:rsid w:val="005B6E65"/>
    <w:rsid w:val="005B6EB7"/>
    <w:rsid w:val="005C40FD"/>
    <w:rsid w:val="005C6CC9"/>
    <w:rsid w:val="005D3520"/>
    <w:rsid w:val="005E2880"/>
    <w:rsid w:val="005F7287"/>
    <w:rsid w:val="00600E8C"/>
    <w:rsid w:val="00603836"/>
    <w:rsid w:val="0060534D"/>
    <w:rsid w:val="00607761"/>
    <w:rsid w:val="00625504"/>
    <w:rsid w:val="00625C7D"/>
    <w:rsid w:val="00627958"/>
    <w:rsid w:val="00633644"/>
    <w:rsid w:val="0063382D"/>
    <w:rsid w:val="00643FFB"/>
    <w:rsid w:val="00653D1B"/>
    <w:rsid w:val="00655C98"/>
    <w:rsid w:val="006629EB"/>
    <w:rsid w:val="0066566F"/>
    <w:rsid w:val="006732B4"/>
    <w:rsid w:val="00676E00"/>
    <w:rsid w:val="00681022"/>
    <w:rsid w:val="00685B5F"/>
    <w:rsid w:val="00687A3D"/>
    <w:rsid w:val="00695A54"/>
    <w:rsid w:val="006A5AB1"/>
    <w:rsid w:val="006A711E"/>
    <w:rsid w:val="006B0E97"/>
    <w:rsid w:val="006B178B"/>
    <w:rsid w:val="006C1D0E"/>
    <w:rsid w:val="006C2328"/>
    <w:rsid w:val="006C4BFF"/>
    <w:rsid w:val="006C5166"/>
    <w:rsid w:val="006C51FC"/>
    <w:rsid w:val="006D155C"/>
    <w:rsid w:val="007308D8"/>
    <w:rsid w:val="007415C9"/>
    <w:rsid w:val="007419E2"/>
    <w:rsid w:val="007612F9"/>
    <w:rsid w:val="0077025F"/>
    <w:rsid w:val="007B4CA2"/>
    <w:rsid w:val="007C2B84"/>
    <w:rsid w:val="007D09A5"/>
    <w:rsid w:val="007D299E"/>
    <w:rsid w:val="007D2EC6"/>
    <w:rsid w:val="007D3C89"/>
    <w:rsid w:val="007D4A03"/>
    <w:rsid w:val="007F2CF2"/>
    <w:rsid w:val="007F5DE8"/>
    <w:rsid w:val="007F7768"/>
    <w:rsid w:val="00815E2E"/>
    <w:rsid w:val="00830516"/>
    <w:rsid w:val="008409DC"/>
    <w:rsid w:val="008472B4"/>
    <w:rsid w:val="0085416F"/>
    <w:rsid w:val="00856E7B"/>
    <w:rsid w:val="00862BC7"/>
    <w:rsid w:val="00867D19"/>
    <w:rsid w:val="00880721"/>
    <w:rsid w:val="00880FB1"/>
    <w:rsid w:val="0088300B"/>
    <w:rsid w:val="00883B79"/>
    <w:rsid w:val="00894C57"/>
    <w:rsid w:val="00894D0C"/>
    <w:rsid w:val="0089748C"/>
    <w:rsid w:val="008A5A37"/>
    <w:rsid w:val="008C010C"/>
    <w:rsid w:val="008C3AFF"/>
    <w:rsid w:val="008C6292"/>
    <w:rsid w:val="008C6C03"/>
    <w:rsid w:val="008C7450"/>
    <w:rsid w:val="008D149E"/>
    <w:rsid w:val="008D46AF"/>
    <w:rsid w:val="008D5716"/>
    <w:rsid w:val="008E557F"/>
    <w:rsid w:val="008E5C28"/>
    <w:rsid w:val="008F650F"/>
    <w:rsid w:val="008F6CC3"/>
    <w:rsid w:val="009008E2"/>
    <w:rsid w:val="009031F5"/>
    <w:rsid w:val="00904DE1"/>
    <w:rsid w:val="00905759"/>
    <w:rsid w:val="009064BB"/>
    <w:rsid w:val="00911DD1"/>
    <w:rsid w:val="00912C8B"/>
    <w:rsid w:val="00913D4E"/>
    <w:rsid w:val="009157B3"/>
    <w:rsid w:val="009175CC"/>
    <w:rsid w:val="00917E36"/>
    <w:rsid w:val="00917F90"/>
    <w:rsid w:val="00921D7A"/>
    <w:rsid w:val="009233BB"/>
    <w:rsid w:val="0093056C"/>
    <w:rsid w:val="0093425B"/>
    <w:rsid w:val="00934590"/>
    <w:rsid w:val="00934758"/>
    <w:rsid w:val="00934FFE"/>
    <w:rsid w:val="00936B29"/>
    <w:rsid w:val="00942705"/>
    <w:rsid w:val="00961193"/>
    <w:rsid w:val="0097103A"/>
    <w:rsid w:val="0097175C"/>
    <w:rsid w:val="00972AAC"/>
    <w:rsid w:val="00980473"/>
    <w:rsid w:val="009919B8"/>
    <w:rsid w:val="00995491"/>
    <w:rsid w:val="00997384"/>
    <w:rsid w:val="009A017F"/>
    <w:rsid w:val="009A2ED8"/>
    <w:rsid w:val="009A3920"/>
    <w:rsid w:val="009A5857"/>
    <w:rsid w:val="009A7200"/>
    <w:rsid w:val="009B2CC9"/>
    <w:rsid w:val="009C2ECC"/>
    <w:rsid w:val="009C5EC9"/>
    <w:rsid w:val="009C6EE4"/>
    <w:rsid w:val="009D300D"/>
    <w:rsid w:val="009D32F8"/>
    <w:rsid w:val="009E137E"/>
    <w:rsid w:val="009E1659"/>
    <w:rsid w:val="009E22E5"/>
    <w:rsid w:val="009E34E1"/>
    <w:rsid w:val="009E494E"/>
    <w:rsid w:val="009F40A4"/>
    <w:rsid w:val="00A02086"/>
    <w:rsid w:val="00A03B18"/>
    <w:rsid w:val="00A0667E"/>
    <w:rsid w:val="00A068CD"/>
    <w:rsid w:val="00A12A51"/>
    <w:rsid w:val="00A139ED"/>
    <w:rsid w:val="00A249CA"/>
    <w:rsid w:val="00A24DF0"/>
    <w:rsid w:val="00A3182D"/>
    <w:rsid w:val="00A336B3"/>
    <w:rsid w:val="00A33824"/>
    <w:rsid w:val="00A33B69"/>
    <w:rsid w:val="00A340A4"/>
    <w:rsid w:val="00A357BB"/>
    <w:rsid w:val="00A37444"/>
    <w:rsid w:val="00A419F0"/>
    <w:rsid w:val="00A45F6C"/>
    <w:rsid w:val="00A5590B"/>
    <w:rsid w:val="00A65E45"/>
    <w:rsid w:val="00A74A55"/>
    <w:rsid w:val="00A74D9D"/>
    <w:rsid w:val="00A75579"/>
    <w:rsid w:val="00A8132F"/>
    <w:rsid w:val="00A84721"/>
    <w:rsid w:val="00A94B5D"/>
    <w:rsid w:val="00A956DB"/>
    <w:rsid w:val="00A95C1D"/>
    <w:rsid w:val="00A977D5"/>
    <w:rsid w:val="00AA25B2"/>
    <w:rsid w:val="00AA7463"/>
    <w:rsid w:val="00AB2491"/>
    <w:rsid w:val="00AB3474"/>
    <w:rsid w:val="00AC2852"/>
    <w:rsid w:val="00AC4CC3"/>
    <w:rsid w:val="00AE17FE"/>
    <w:rsid w:val="00AE3AD3"/>
    <w:rsid w:val="00AE652A"/>
    <w:rsid w:val="00AF0FDA"/>
    <w:rsid w:val="00B06B0C"/>
    <w:rsid w:val="00B10B43"/>
    <w:rsid w:val="00B17B6A"/>
    <w:rsid w:val="00B21B3E"/>
    <w:rsid w:val="00B25295"/>
    <w:rsid w:val="00B3359B"/>
    <w:rsid w:val="00B35051"/>
    <w:rsid w:val="00B4013D"/>
    <w:rsid w:val="00B41C68"/>
    <w:rsid w:val="00B4566B"/>
    <w:rsid w:val="00B506AC"/>
    <w:rsid w:val="00B546C5"/>
    <w:rsid w:val="00B65BB5"/>
    <w:rsid w:val="00B76E09"/>
    <w:rsid w:val="00B837B3"/>
    <w:rsid w:val="00B90FF3"/>
    <w:rsid w:val="00B93AAE"/>
    <w:rsid w:val="00BA01EA"/>
    <w:rsid w:val="00BA50B4"/>
    <w:rsid w:val="00BB39B7"/>
    <w:rsid w:val="00BC20A1"/>
    <w:rsid w:val="00BC3B00"/>
    <w:rsid w:val="00BC4DF7"/>
    <w:rsid w:val="00BC7F53"/>
    <w:rsid w:val="00BD04B0"/>
    <w:rsid w:val="00BD76DA"/>
    <w:rsid w:val="00BE2B21"/>
    <w:rsid w:val="00BE4408"/>
    <w:rsid w:val="00BE61F5"/>
    <w:rsid w:val="00BF0791"/>
    <w:rsid w:val="00C045B4"/>
    <w:rsid w:val="00C04723"/>
    <w:rsid w:val="00C12663"/>
    <w:rsid w:val="00C12EB6"/>
    <w:rsid w:val="00C13F32"/>
    <w:rsid w:val="00C14A43"/>
    <w:rsid w:val="00C21ED8"/>
    <w:rsid w:val="00C379D8"/>
    <w:rsid w:val="00C45D88"/>
    <w:rsid w:val="00C46BF7"/>
    <w:rsid w:val="00C5493A"/>
    <w:rsid w:val="00C606C0"/>
    <w:rsid w:val="00C61AFD"/>
    <w:rsid w:val="00C6328C"/>
    <w:rsid w:val="00C63A15"/>
    <w:rsid w:val="00C65AA8"/>
    <w:rsid w:val="00C82E48"/>
    <w:rsid w:val="00C83E8B"/>
    <w:rsid w:val="00CA4D1A"/>
    <w:rsid w:val="00CB5275"/>
    <w:rsid w:val="00CB5BDF"/>
    <w:rsid w:val="00CB5EE7"/>
    <w:rsid w:val="00CC53A2"/>
    <w:rsid w:val="00CC6998"/>
    <w:rsid w:val="00CD5AB7"/>
    <w:rsid w:val="00CD70E8"/>
    <w:rsid w:val="00CE0C8B"/>
    <w:rsid w:val="00D046FE"/>
    <w:rsid w:val="00D10406"/>
    <w:rsid w:val="00D23001"/>
    <w:rsid w:val="00D442E5"/>
    <w:rsid w:val="00D52345"/>
    <w:rsid w:val="00D5342F"/>
    <w:rsid w:val="00D545AD"/>
    <w:rsid w:val="00D55758"/>
    <w:rsid w:val="00D55886"/>
    <w:rsid w:val="00D55B4E"/>
    <w:rsid w:val="00D62A2D"/>
    <w:rsid w:val="00D64AC8"/>
    <w:rsid w:val="00D655A8"/>
    <w:rsid w:val="00D70F99"/>
    <w:rsid w:val="00D77EA2"/>
    <w:rsid w:val="00D809C3"/>
    <w:rsid w:val="00D81A4D"/>
    <w:rsid w:val="00D84774"/>
    <w:rsid w:val="00D924D3"/>
    <w:rsid w:val="00D95FA3"/>
    <w:rsid w:val="00DA7292"/>
    <w:rsid w:val="00DB662F"/>
    <w:rsid w:val="00DC046A"/>
    <w:rsid w:val="00DC06DE"/>
    <w:rsid w:val="00DC1093"/>
    <w:rsid w:val="00DD5407"/>
    <w:rsid w:val="00DD687E"/>
    <w:rsid w:val="00DE1386"/>
    <w:rsid w:val="00E04016"/>
    <w:rsid w:val="00E0720A"/>
    <w:rsid w:val="00E13C64"/>
    <w:rsid w:val="00E146D9"/>
    <w:rsid w:val="00E22D25"/>
    <w:rsid w:val="00E3001C"/>
    <w:rsid w:val="00E32310"/>
    <w:rsid w:val="00E32F31"/>
    <w:rsid w:val="00E440D1"/>
    <w:rsid w:val="00E50809"/>
    <w:rsid w:val="00E51512"/>
    <w:rsid w:val="00E6024A"/>
    <w:rsid w:val="00E604A9"/>
    <w:rsid w:val="00E60D10"/>
    <w:rsid w:val="00E61961"/>
    <w:rsid w:val="00E634B3"/>
    <w:rsid w:val="00E643B9"/>
    <w:rsid w:val="00E66F0A"/>
    <w:rsid w:val="00E720A1"/>
    <w:rsid w:val="00E75858"/>
    <w:rsid w:val="00E84C59"/>
    <w:rsid w:val="00E86251"/>
    <w:rsid w:val="00E86A93"/>
    <w:rsid w:val="00E92F08"/>
    <w:rsid w:val="00E9431D"/>
    <w:rsid w:val="00EB02EF"/>
    <w:rsid w:val="00EB2FD9"/>
    <w:rsid w:val="00EC079C"/>
    <w:rsid w:val="00EC088E"/>
    <w:rsid w:val="00ED36C6"/>
    <w:rsid w:val="00ED654C"/>
    <w:rsid w:val="00EE4ECD"/>
    <w:rsid w:val="00EE6F8A"/>
    <w:rsid w:val="00EF257D"/>
    <w:rsid w:val="00EF644B"/>
    <w:rsid w:val="00F0284C"/>
    <w:rsid w:val="00F03911"/>
    <w:rsid w:val="00F1323D"/>
    <w:rsid w:val="00F1363E"/>
    <w:rsid w:val="00F251A4"/>
    <w:rsid w:val="00F32CF0"/>
    <w:rsid w:val="00F35BB5"/>
    <w:rsid w:val="00F40301"/>
    <w:rsid w:val="00F4380A"/>
    <w:rsid w:val="00F54AF8"/>
    <w:rsid w:val="00F60D79"/>
    <w:rsid w:val="00F70528"/>
    <w:rsid w:val="00F71993"/>
    <w:rsid w:val="00F75451"/>
    <w:rsid w:val="00F80AE2"/>
    <w:rsid w:val="00F90F36"/>
    <w:rsid w:val="00F93DD0"/>
    <w:rsid w:val="00F9531A"/>
    <w:rsid w:val="00FA0097"/>
    <w:rsid w:val="00FA50E3"/>
    <w:rsid w:val="00FA5B94"/>
    <w:rsid w:val="00FA674C"/>
    <w:rsid w:val="00FB1704"/>
    <w:rsid w:val="00FB2B74"/>
    <w:rsid w:val="00FC0B3E"/>
    <w:rsid w:val="00FE01FD"/>
    <w:rsid w:val="00FF4DCA"/>
    <w:rsid w:val="00FF7541"/>
    <w:rsid w:val="01D2560B"/>
    <w:rsid w:val="025F28B4"/>
    <w:rsid w:val="026C6563"/>
    <w:rsid w:val="026F11A5"/>
    <w:rsid w:val="034A43DB"/>
    <w:rsid w:val="03E2554B"/>
    <w:rsid w:val="05CF7D50"/>
    <w:rsid w:val="05EF6183"/>
    <w:rsid w:val="066A4B51"/>
    <w:rsid w:val="06DB1FC1"/>
    <w:rsid w:val="07BC2556"/>
    <w:rsid w:val="07FB307F"/>
    <w:rsid w:val="082075C9"/>
    <w:rsid w:val="08330012"/>
    <w:rsid w:val="08A100EC"/>
    <w:rsid w:val="08AE443E"/>
    <w:rsid w:val="0AEC0E3A"/>
    <w:rsid w:val="0B352404"/>
    <w:rsid w:val="0CF87B8D"/>
    <w:rsid w:val="0DFE30BC"/>
    <w:rsid w:val="0E0A0266"/>
    <w:rsid w:val="0E9A44CF"/>
    <w:rsid w:val="0EA11202"/>
    <w:rsid w:val="0EE26D46"/>
    <w:rsid w:val="0F4C0664"/>
    <w:rsid w:val="0F7C0C67"/>
    <w:rsid w:val="100E76C7"/>
    <w:rsid w:val="108F35D0"/>
    <w:rsid w:val="10E55DDE"/>
    <w:rsid w:val="115D0906"/>
    <w:rsid w:val="137D2B9A"/>
    <w:rsid w:val="13897791"/>
    <w:rsid w:val="13B642FE"/>
    <w:rsid w:val="140908D1"/>
    <w:rsid w:val="150317C5"/>
    <w:rsid w:val="1546157D"/>
    <w:rsid w:val="15F227DB"/>
    <w:rsid w:val="15FD04E9"/>
    <w:rsid w:val="16175528"/>
    <w:rsid w:val="161D7BD8"/>
    <w:rsid w:val="1629709B"/>
    <w:rsid w:val="166855C2"/>
    <w:rsid w:val="18972950"/>
    <w:rsid w:val="18C562E9"/>
    <w:rsid w:val="18CB25F9"/>
    <w:rsid w:val="19641022"/>
    <w:rsid w:val="19B871C3"/>
    <w:rsid w:val="19EF056A"/>
    <w:rsid w:val="1B3B6FEB"/>
    <w:rsid w:val="1B730595"/>
    <w:rsid w:val="1BCF28A3"/>
    <w:rsid w:val="1C054074"/>
    <w:rsid w:val="1C2A5889"/>
    <w:rsid w:val="1CB47C52"/>
    <w:rsid w:val="1D1D0F4A"/>
    <w:rsid w:val="1D6B0675"/>
    <w:rsid w:val="1E537319"/>
    <w:rsid w:val="1EAE0C70"/>
    <w:rsid w:val="1EE91A2B"/>
    <w:rsid w:val="1EF47045"/>
    <w:rsid w:val="1F130856"/>
    <w:rsid w:val="207D0C10"/>
    <w:rsid w:val="208522D0"/>
    <w:rsid w:val="20F402A3"/>
    <w:rsid w:val="2218710D"/>
    <w:rsid w:val="22965462"/>
    <w:rsid w:val="22C335AC"/>
    <w:rsid w:val="22EF7372"/>
    <w:rsid w:val="23195059"/>
    <w:rsid w:val="235839AB"/>
    <w:rsid w:val="23855B20"/>
    <w:rsid w:val="239C775D"/>
    <w:rsid w:val="23D14D83"/>
    <w:rsid w:val="248543C8"/>
    <w:rsid w:val="25C44658"/>
    <w:rsid w:val="26143EDA"/>
    <w:rsid w:val="26284BE7"/>
    <w:rsid w:val="263145E2"/>
    <w:rsid w:val="263B29F4"/>
    <w:rsid w:val="2670779A"/>
    <w:rsid w:val="26DF4910"/>
    <w:rsid w:val="270E4F7F"/>
    <w:rsid w:val="277B2AC3"/>
    <w:rsid w:val="27822A1D"/>
    <w:rsid w:val="279958CD"/>
    <w:rsid w:val="2A44202E"/>
    <w:rsid w:val="2A5D2CF6"/>
    <w:rsid w:val="2AD5793D"/>
    <w:rsid w:val="2AEC6B2B"/>
    <w:rsid w:val="2AFA0365"/>
    <w:rsid w:val="2B6E679F"/>
    <w:rsid w:val="2CBC2B8D"/>
    <w:rsid w:val="2D4D587B"/>
    <w:rsid w:val="2D533BFC"/>
    <w:rsid w:val="2D7B5529"/>
    <w:rsid w:val="2E891C90"/>
    <w:rsid w:val="2EF0518E"/>
    <w:rsid w:val="2F655DC2"/>
    <w:rsid w:val="2F656EAC"/>
    <w:rsid w:val="2F7425BC"/>
    <w:rsid w:val="30423210"/>
    <w:rsid w:val="305A62E5"/>
    <w:rsid w:val="30BF6A04"/>
    <w:rsid w:val="321E1594"/>
    <w:rsid w:val="327B69E7"/>
    <w:rsid w:val="32CF622E"/>
    <w:rsid w:val="32F77C03"/>
    <w:rsid w:val="33115B1A"/>
    <w:rsid w:val="33A23581"/>
    <w:rsid w:val="33BB4C66"/>
    <w:rsid w:val="343111D6"/>
    <w:rsid w:val="34B41D3C"/>
    <w:rsid w:val="34C70CB6"/>
    <w:rsid w:val="373D24BC"/>
    <w:rsid w:val="37461538"/>
    <w:rsid w:val="38EE509A"/>
    <w:rsid w:val="397131E9"/>
    <w:rsid w:val="39A9208B"/>
    <w:rsid w:val="39D81453"/>
    <w:rsid w:val="3A192D97"/>
    <w:rsid w:val="3A914FF9"/>
    <w:rsid w:val="3B862684"/>
    <w:rsid w:val="3B8D7FF3"/>
    <w:rsid w:val="3D1E68EC"/>
    <w:rsid w:val="3D971A43"/>
    <w:rsid w:val="3DB87C36"/>
    <w:rsid w:val="3E0B01D0"/>
    <w:rsid w:val="3E164CD4"/>
    <w:rsid w:val="3E513F10"/>
    <w:rsid w:val="3E7A4475"/>
    <w:rsid w:val="3EA846BF"/>
    <w:rsid w:val="3EB07A18"/>
    <w:rsid w:val="3F3831FA"/>
    <w:rsid w:val="3FB86B84"/>
    <w:rsid w:val="3FC976FF"/>
    <w:rsid w:val="404C2CAF"/>
    <w:rsid w:val="40D87830"/>
    <w:rsid w:val="412972C9"/>
    <w:rsid w:val="414156BB"/>
    <w:rsid w:val="41856EAD"/>
    <w:rsid w:val="41FF788B"/>
    <w:rsid w:val="421F2EEA"/>
    <w:rsid w:val="42A258CA"/>
    <w:rsid w:val="42BE0955"/>
    <w:rsid w:val="42E5081B"/>
    <w:rsid w:val="43687E83"/>
    <w:rsid w:val="43FD36FF"/>
    <w:rsid w:val="456B6371"/>
    <w:rsid w:val="461F79B1"/>
    <w:rsid w:val="464D0671"/>
    <w:rsid w:val="46A936CA"/>
    <w:rsid w:val="47207727"/>
    <w:rsid w:val="477F27CB"/>
    <w:rsid w:val="4799373F"/>
    <w:rsid w:val="481903DC"/>
    <w:rsid w:val="485338EE"/>
    <w:rsid w:val="48BE1793"/>
    <w:rsid w:val="48EF7CA2"/>
    <w:rsid w:val="493B1F88"/>
    <w:rsid w:val="49514C0D"/>
    <w:rsid w:val="495C057F"/>
    <w:rsid w:val="4A5E2A1E"/>
    <w:rsid w:val="4A9D52F4"/>
    <w:rsid w:val="4AB443EC"/>
    <w:rsid w:val="4AFD27C6"/>
    <w:rsid w:val="4B0E61F2"/>
    <w:rsid w:val="4B376EB8"/>
    <w:rsid w:val="4C1623B6"/>
    <w:rsid w:val="4C163C73"/>
    <w:rsid w:val="4C774F24"/>
    <w:rsid w:val="4CA72897"/>
    <w:rsid w:val="4CE0596C"/>
    <w:rsid w:val="4D1C3AC4"/>
    <w:rsid w:val="4D930C30"/>
    <w:rsid w:val="4DEA6B47"/>
    <w:rsid w:val="4E2455D0"/>
    <w:rsid w:val="4EBF4053"/>
    <w:rsid w:val="4EF37BD9"/>
    <w:rsid w:val="4FA507C7"/>
    <w:rsid w:val="4FCB4B8B"/>
    <w:rsid w:val="4FFA4F97"/>
    <w:rsid w:val="509A535D"/>
    <w:rsid w:val="50D53A00"/>
    <w:rsid w:val="50DE21C3"/>
    <w:rsid w:val="50F6750C"/>
    <w:rsid w:val="51C5234C"/>
    <w:rsid w:val="53442347"/>
    <w:rsid w:val="538937FA"/>
    <w:rsid w:val="54573FD3"/>
    <w:rsid w:val="54815C87"/>
    <w:rsid w:val="556417AB"/>
    <w:rsid w:val="55A50DEE"/>
    <w:rsid w:val="56105E18"/>
    <w:rsid w:val="56117203"/>
    <w:rsid w:val="564801E2"/>
    <w:rsid w:val="57056227"/>
    <w:rsid w:val="573B00FB"/>
    <w:rsid w:val="577227D7"/>
    <w:rsid w:val="5809221B"/>
    <w:rsid w:val="58396B21"/>
    <w:rsid w:val="583B614D"/>
    <w:rsid w:val="5854184A"/>
    <w:rsid w:val="59301A29"/>
    <w:rsid w:val="593056B4"/>
    <w:rsid w:val="599F727C"/>
    <w:rsid w:val="59C26AE6"/>
    <w:rsid w:val="5A4412E8"/>
    <w:rsid w:val="5A443134"/>
    <w:rsid w:val="5AA20705"/>
    <w:rsid w:val="5B3067CC"/>
    <w:rsid w:val="5C1F39A9"/>
    <w:rsid w:val="5C8F6A67"/>
    <w:rsid w:val="5CD62E37"/>
    <w:rsid w:val="5CE16EEF"/>
    <w:rsid w:val="5D814EC0"/>
    <w:rsid w:val="5D845DA0"/>
    <w:rsid w:val="5D8D744A"/>
    <w:rsid w:val="5DAE25D9"/>
    <w:rsid w:val="5DE45B65"/>
    <w:rsid w:val="5E2F22B0"/>
    <w:rsid w:val="5EC23D4F"/>
    <w:rsid w:val="5F0C7D26"/>
    <w:rsid w:val="5F236D46"/>
    <w:rsid w:val="5F66666A"/>
    <w:rsid w:val="5F773F0E"/>
    <w:rsid w:val="5FAA080A"/>
    <w:rsid w:val="60D94755"/>
    <w:rsid w:val="611A3734"/>
    <w:rsid w:val="6183642B"/>
    <w:rsid w:val="62A0377C"/>
    <w:rsid w:val="63324C79"/>
    <w:rsid w:val="636D2075"/>
    <w:rsid w:val="64F92059"/>
    <w:rsid w:val="660237C7"/>
    <w:rsid w:val="66140709"/>
    <w:rsid w:val="67050C74"/>
    <w:rsid w:val="67B9477B"/>
    <w:rsid w:val="68071BA7"/>
    <w:rsid w:val="68132C71"/>
    <w:rsid w:val="68921DB9"/>
    <w:rsid w:val="68A958EC"/>
    <w:rsid w:val="69026DDB"/>
    <w:rsid w:val="694C2F76"/>
    <w:rsid w:val="69981651"/>
    <w:rsid w:val="69E60FD0"/>
    <w:rsid w:val="6A317285"/>
    <w:rsid w:val="6B500156"/>
    <w:rsid w:val="6BF6166C"/>
    <w:rsid w:val="6C5E0974"/>
    <w:rsid w:val="6C72216A"/>
    <w:rsid w:val="6CD7423E"/>
    <w:rsid w:val="6D53778A"/>
    <w:rsid w:val="6DCF760B"/>
    <w:rsid w:val="6E247776"/>
    <w:rsid w:val="6E681920"/>
    <w:rsid w:val="6E6E0BD2"/>
    <w:rsid w:val="6E794997"/>
    <w:rsid w:val="6EAD16FA"/>
    <w:rsid w:val="6F1578D0"/>
    <w:rsid w:val="6F821A58"/>
    <w:rsid w:val="70401F1D"/>
    <w:rsid w:val="70E22A2B"/>
    <w:rsid w:val="71081D16"/>
    <w:rsid w:val="718801FD"/>
    <w:rsid w:val="718E239F"/>
    <w:rsid w:val="723F4D5F"/>
    <w:rsid w:val="7247092B"/>
    <w:rsid w:val="730035B1"/>
    <w:rsid w:val="733F48EB"/>
    <w:rsid w:val="73B01345"/>
    <w:rsid w:val="73B61051"/>
    <w:rsid w:val="73B971A1"/>
    <w:rsid w:val="751D6EAE"/>
    <w:rsid w:val="75377773"/>
    <w:rsid w:val="75B0387E"/>
    <w:rsid w:val="75BC6A36"/>
    <w:rsid w:val="75E74C1C"/>
    <w:rsid w:val="76147A7E"/>
    <w:rsid w:val="763D60FE"/>
    <w:rsid w:val="7646665F"/>
    <w:rsid w:val="764A4945"/>
    <w:rsid w:val="776F69C2"/>
    <w:rsid w:val="797B4731"/>
    <w:rsid w:val="79CE1C18"/>
    <w:rsid w:val="7ACE4ED2"/>
    <w:rsid w:val="7AFE6E3A"/>
    <w:rsid w:val="7B113011"/>
    <w:rsid w:val="7BC576C6"/>
    <w:rsid w:val="7BFD0CC1"/>
    <w:rsid w:val="7C0D1A2A"/>
    <w:rsid w:val="7C1903CF"/>
    <w:rsid w:val="7C191616"/>
    <w:rsid w:val="7C372603"/>
    <w:rsid w:val="7C8F243F"/>
    <w:rsid w:val="7C9C2DAE"/>
    <w:rsid w:val="7CBF37E0"/>
    <w:rsid w:val="7D1666BD"/>
    <w:rsid w:val="7D6E0511"/>
    <w:rsid w:val="7E0B3D48"/>
    <w:rsid w:val="7E5971A9"/>
    <w:rsid w:val="7E780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560" w:lineRule="exact"/>
      <w:ind w:firstLine="880" w:firstLineChars="200"/>
      <w:jc w:val="both"/>
    </w:pPr>
    <w:rPr>
      <w:rFonts w:ascii="Times New Roman" w:hAnsi="Times New Roman" w:eastAsia="仿宋_GB2312" w:cs="Times New Roman"/>
      <w:sz w:val="32"/>
      <w:szCs w:val="22"/>
      <w:lang w:val="zh-CN" w:eastAsia="zh-CN" w:bidi="zh-CN"/>
    </w:rPr>
  </w:style>
  <w:style w:type="paragraph" w:styleId="2">
    <w:name w:val="heading 1"/>
    <w:basedOn w:val="1"/>
    <w:next w:val="1"/>
    <w:qFormat/>
    <w:uiPriority w:val="0"/>
    <w:pPr>
      <w:keepNext/>
      <w:keepLines/>
      <w:spacing w:line="560" w:lineRule="exact"/>
      <w:ind w:firstLine="880" w:firstLineChars="200"/>
      <w:jc w:val="center"/>
      <w:outlineLvl w:val="0"/>
    </w:pPr>
    <w:rPr>
      <w:rFonts w:ascii="Times New Roman" w:hAnsi="Times New Roman" w:eastAsia="黑体" w:cs="Times New Roman"/>
      <w:kern w:val="44"/>
    </w:rPr>
  </w:style>
  <w:style w:type="paragraph" w:styleId="3">
    <w:name w:val="heading 2"/>
    <w:basedOn w:val="1"/>
    <w:next w:val="1"/>
    <w:unhideWhenUsed/>
    <w:qFormat/>
    <w:uiPriority w:val="0"/>
    <w:pPr>
      <w:keepNext/>
      <w:keepLines/>
      <w:spacing w:line="560" w:lineRule="exact"/>
      <w:outlineLvl w:val="1"/>
    </w:pPr>
    <w:rPr>
      <w:rFonts w:ascii="Times New Roman" w:hAnsi="Times New Roman" w:eastAsia="楷体_GB2312"/>
    </w:rPr>
  </w:style>
  <w:style w:type="paragraph" w:styleId="4">
    <w:name w:val="heading 3"/>
    <w:basedOn w:val="1"/>
    <w:next w:val="1"/>
    <w:unhideWhenUsed/>
    <w:qFormat/>
    <w:uiPriority w:val="0"/>
    <w:pPr>
      <w:keepNext/>
      <w:keepLines/>
      <w:outlineLvl w:val="2"/>
    </w:pPr>
    <w:rPr>
      <w:rFonts w:eastAsia="楷体_GB2312"/>
    </w:rPr>
  </w:style>
  <w:style w:type="paragraph" w:styleId="5">
    <w:name w:val="heading 4"/>
    <w:basedOn w:val="1"/>
    <w:next w:val="1"/>
    <w:link w:val="22"/>
    <w:unhideWhenUsed/>
    <w:qFormat/>
    <w:uiPriority w:val="0"/>
    <w:pPr>
      <w:keepNext/>
      <w:keepLines/>
      <w:ind w:firstLine="562"/>
      <w:outlineLvl w:val="3"/>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val="0"/>
      <w:spacing w:after="0"/>
      <w:ind w:firstLine="420" w:firstLineChars="200"/>
      <w:jc w:val="both"/>
    </w:pPr>
    <w:rPr>
      <w:rFonts w:ascii="Calibri" w:hAnsi="Calibri" w:eastAsia="仿宋" w:cs="Times New Roman"/>
      <w:kern w:val="2"/>
      <w:sz w:val="32"/>
      <w:lang w:val="en-US" w:eastAsia="zh-CN" w:bidi="ar-SA"/>
    </w:rPr>
  </w:style>
  <w:style w:type="paragraph" w:styleId="7">
    <w:name w:val="annotation text"/>
    <w:basedOn w:val="1"/>
    <w:link w:val="33"/>
    <w:qFormat/>
    <w:uiPriority w:val="0"/>
    <w:pPr>
      <w:jc w:val="left"/>
    </w:pPr>
  </w:style>
  <w:style w:type="paragraph" w:styleId="8">
    <w:name w:val="Body Text"/>
    <w:basedOn w:val="1"/>
    <w:qFormat/>
    <w:uiPriority w:val="1"/>
    <w:pPr>
      <w:ind w:left="109"/>
    </w:pPr>
    <w:rPr>
      <w:szCs w:val="32"/>
    </w:rPr>
  </w:style>
  <w:style w:type="paragraph" w:styleId="9">
    <w:name w:val="Body Text Indent"/>
    <w:basedOn w:val="1"/>
    <w:link w:val="25"/>
    <w:qFormat/>
    <w:uiPriority w:val="0"/>
    <w:pPr>
      <w:spacing w:after="120"/>
      <w:ind w:left="420" w:leftChars="200"/>
    </w:pPr>
  </w:style>
  <w:style w:type="paragraph" w:styleId="10">
    <w:name w:val="footer"/>
    <w:basedOn w:val="1"/>
    <w:link w:val="29"/>
    <w:qFormat/>
    <w:uiPriority w:val="0"/>
    <w:pPr>
      <w:tabs>
        <w:tab w:val="center" w:pos="4153"/>
        <w:tab w:val="right" w:pos="8306"/>
      </w:tabs>
      <w:snapToGrid w:val="0"/>
      <w:spacing w:line="240" w:lineRule="atLeast"/>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footnote text"/>
    <w:basedOn w:val="1"/>
    <w:next w:val="1"/>
    <w:qFormat/>
    <w:uiPriority w:val="0"/>
    <w:pPr>
      <w:snapToGrid w:val="0"/>
      <w:jc w:val="left"/>
    </w:pPr>
  </w:style>
  <w:style w:type="paragraph" w:styleId="13">
    <w:name w:val="Normal (Web)"/>
    <w:basedOn w:val="1"/>
    <w:qFormat/>
    <w:uiPriority w:val="0"/>
    <w:pPr>
      <w:spacing w:line="240" w:lineRule="auto"/>
      <w:ind w:firstLine="0" w:firstLineChars="0"/>
      <w:jc w:val="left"/>
    </w:pPr>
    <w:rPr>
      <w:rFonts w:ascii="Calibri" w:hAnsi="Calibri" w:eastAsia="宋体" w:cs="Times New Roman"/>
      <w:sz w:val="24"/>
      <w:szCs w:val="24"/>
    </w:rPr>
  </w:style>
  <w:style w:type="paragraph" w:styleId="14">
    <w:name w:val="annotation subject"/>
    <w:basedOn w:val="7"/>
    <w:next w:val="7"/>
    <w:link w:val="34"/>
    <w:qFormat/>
    <w:uiPriority w:val="0"/>
    <w:rPr>
      <w:b/>
      <w:bCs/>
    </w:rPr>
  </w:style>
  <w:style w:type="paragraph" w:styleId="15">
    <w:name w:val="Body Text First Indent 2"/>
    <w:basedOn w:val="9"/>
    <w:next w:val="1"/>
    <w:qFormat/>
    <w:uiPriority w:val="0"/>
    <w:pPr>
      <w:ind w:left="0" w:leftChars="0" w:firstLine="420"/>
    </w:p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character" w:styleId="21">
    <w:name w:val="footnote reference"/>
    <w:basedOn w:val="18"/>
    <w:qFormat/>
    <w:uiPriority w:val="0"/>
    <w:rPr>
      <w:vertAlign w:val="superscript"/>
    </w:rPr>
  </w:style>
  <w:style w:type="character" w:customStyle="1" w:styleId="22">
    <w:name w:val="标题 4 字符"/>
    <w:link w:val="5"/>
    <w:qFormat/>
    <w:uiPriority w:val="0"/>
    <w:rPr>
      <w:rFonts w:ascii="仿宋_GB2312" w:hAnsi="仿宋_GB2312"/>
      <w:b/>
    </w:rPr>
  </w:style>
  <w:style w:type="paragraph" w:styleId="23">
    <w:name w:val="List Paragraph"/>
    <w:basedOn w:val="1"/>
    <w:qFormat/>
    <w:uiPriority w:val="1"/>
    <w:pPr>
      <w:spacing w:before="168"/>
      <w:ind w:left="1071" w:hanging="322"/>
    </w:pPr>
  </w:style>
  <w:style w:type="paragraph" w:customStyle="1" w:styleId="24">
    <w:name w:val="正文11"/>
    <w:basedOn w:val="1"/>
    <w:qFormat/>
    <w:uiPriority w:val="99"/>
    <w:pPr>
      <w:spacing w:line="560" w:lineRule="exact"/>
      <w:ind w:firstLine="0" w:firstLineChars="0"/>
    </w:pPr>
    <w:rPr>
      <w:rFonts w:ascii="Calibri" w:hAnsi="Calibri" w:eastAsia="宋体" w:cs="Times New Roman"/>
    </w:rPr>
  </w:style>
  <w:style w:type="character" w:customStyle="1" w:styleId="25">
    <w:name w:val="正文文本缩进 字符"/>
    <w:basedOn w:val="18"/>
    <w:link w:val="9"/>
    <w:qFormat/>
    <w:uiPriority w:val="0"/>
    <w:rPr>
      <w:kern w:val="2"/>
      <w:sz w:val="21"/>
      <w:szCs w:val="24"/>
    </w:rPr>
  </w:style>
  <w:style w:type="character" w:customStyle="1" w:styleId="26">
    <w:name w:val="正文文本首行缩进 2 字符"/>
    <w:basedOn w:val="25"/>
    <w:qFormat/>
    <w:uiPriority w:val="0"/>
    <w:rPr>
      <w:kern w:val="2"/>
      <w:sz w:val="21"/>
      <w:szCs w:val="24"/>
    </w:rPr>
  </w:style>
  <w:style w:type="paragraph" w:customStyle="1" w:styleId="27">
    <w:name w:val="修订1"/>
    <w:hidden/>
    <w:unhideWhenUsed/>
    <w:qFormat/>
    <w:uiPriority w:val="99"/>
    <w:rPr>
      <w:rFonts w:ascii="仿宋_GB2312" w:hAnsi="仿宋_GB2312" w:eastAsia="仿宋_GB2312" w:cs="仿宋_GB2312"/>
      <w:sz w:val="32"/>
      <w:szCs w:val="22"/>
      <w:lang w:val="zh-CN" w:eastAsia="zh-CN" w:bidi="zh-CN"/>
    </w:rPr>
  </w:style>
  <w:style w:type="paragraph" w:customStyle="1" w:styleId="28">
    <w:name w:val="修订2"/>
    <w:hidden/>
    <w:unhideWhenUsed/>
    <w:qFormat/>
    <w:uiPriority w:val="99"/>
    <w:rPr>
      <w:rFonts w:ascii="仿宋_GB2312" w:hAnsi="仿宋_GB2312" w:eastAsia="仿宋_GB2312" w:cs="仿宋_GB2312"/>
      <w:sz w:val="32"/>
      <w:szCs w:val="22"/>
      <w:lang w:val="zh-CN" w:eastAsia="zh-CN" w:bidi="zh-CN"/>
    </w:rPr>
  </w:style>
  <w:style w:type="character" w:customStyle="1" w:styleId="29">
    <w:name w:val="页脚 字符"/>
    <w:basedOn w:val="18"/>
    <w:link w:val="10"/>
    <w:qFormat/>
    <w:uiPriority w:val="0"/>
    <w:rPr>
      <w:rFonts w:ascii="仿宋_GB2312" w:hAnsi="仿宋_GB2312" w:eastAsia="仿宋_GB2312" w:cs="仿宋_GB2312"/>
      <w:sz w:val="18"/>
      <w:szCs w:val="18"/>
      <w:lang w:val="zh-CN" w:bidi="zh-CN"/>
    </w:rPr>
  </w:style>
  <w:style w:type="paragraph" w:customStyle="1" w:styleId="30">
    <w:name w:val="修订3"/>
    <w:hidden/>
    <w:unhideWhenUsed/>
    <w:qFormat/>
    <w:uiPriority w:val="99"/>
    <w:rPr>
      <w:rFonts w:ascii="仿宋_GB2312" w:hAnsi="仿宋_GB2312" w:eastAsia="仿宋_GB2312" w:cs="仿宋_GB2312"/>
      <w:sz w:val="32"/>
      <w:szCs w:val="22"/>
      <w:lang w:val="zh-CN" w:eastAsia="zh-CN" w:bidi="zh-CN"/>
    </w:rPr>
  </w:style>
  <w:style w:type="paragraph" w:customStyle="1" w:styleId="31">
    <w:name w:val="修订4"/>
    <w:hidden/>
    <w:unhideWhenUsed/>
    <w:qFormat/>
    <w:uiPriority w:val="99"/>
    <w:rPr>
      <w:rFonts w:ascii="仿宋_GB2312" w:hAnsi="仿宋_GB2312" w:eastAsia="仿宋_GB2312" w:cs="仿宋_GB2312"/>
      <w:sz w:val="32"/>
      <w:szCs w:val="22"/>
      <w:lang w:val="zh-CN" w:eastAsia="zh-CN" w:bidi="zh-CN"/>
    </w:rPr>
  </w:style>
  <w:style w:type="paragraph" w:customStyle="1" w:styleId="32">
    <w:name w:val="修订5"/>
    <w:hidden/>
    <w:unhideWhenUsed/>
    <w:qFormat/>
    <w:uiPriority w:val="99"/>
    <w:rPr>
      <w:rFonts w:ascii="仿宋_GB2312" w:hAnsi="仿宋_GB2312" w:eastAsia="仿宋_GB2312" w:cs="仿宋_GB2312"/>
      <w:sz w:val="32"/>
      <w:szCs w:val="22"/>
      <w:lang w:val="zh-CN" w:eastAsia="zh-CN" w:bidi="zh-CN"/>
    </w:rPr>
  </w:style>
  <w:style w:type="character" w:customStyle="1" w:styleId="33">
    <w:name w:val="批注文字 字符"/>
    <w:basedOn w:val="18"/>
    <w:link w:val="7"/>
    <w:qFormat/>
    <w:uiPriority w:val="0"/>
    <w:rPr>
      <w:rFonts w:ascii="仿宋_GB2312" w:hAnsi="仿宋_GB2312" w:eastAsia="仿宋_GB2312" w:cs="仿宋_GB2312"/>
      <w:sz w:val="32"/>
      <w:szCs w:val="22"/>
      <w:lang w:val="zh-CN" w:bidi="zh-CN"/>
    </w:rPr>
  </w:style>
  <w:style w:type="character" w:customStyle="1" w:styleId="34">
    <w:name w:val="批注主题 字符"/>
    <w:basedOn w:val="33"/>
    <w:link w:val="14"/>
    <w:qFormat/>
    <w:uiPriority w:val="0"/>
    <w:rPr>
      <w:rFonts w:ascii="仿宋_GB2312" w:hAnsi="仿宋_GB2312" w:eastAsia="仿宋_GB2312" w:cs="仿宋_GB2312"/>
      <w:b/>
      <w:bCs/>
      <w:sz w:val="3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3828</Words>
  <Characters>3916</Characters>
  <Lines>16</Lines>
  <Paragraphs>4</Paragraphs>
  <TotalTime>1</TotalTime>
  <ScaleCrop>false</ScaleCrop>
  <LinksUpToDate>false</LinksUpToDate>
  <CharactersWithSpaces>3918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2025-01-08T12:15:00Z</dcterms:created>
  <dc:creator>赖传亮-基金部</dc:creator>
  <cp:lastModifiedBy>李杰</cp:lastModifiedBy>
  <cp:lastPrinted>2025-04-18T10:00:00Z</cp:lastPrinted>
  <dcterms:modified xsi:type="dcterms:W3CDTF">2025-12-04T10:51:36Z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BB6DA747B9094FFF8A414A6D588BA3BE_13</vt:lpwstr>
  </property>
  <property fmtid="{D5CDD505-2E9C-101B-9397-08002B2CF9AE}" pid="4" name="KSOTemplateDocerSaveRecord">
    <vt:lpwstr>eyJoZGlkIjoiMzBmZWQ3Yjg0YzE0MDc4YTQ3Nzg4MTlhZDEzOWI3N2QiLCJ1c2VySWQiOiIzNjMwNTgwODkifQ==</vt:lpwstr>
  </property>
</Properties>
</file>