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515D">
      <w:pPr>
        <w:jc w:val="center"/>
        <w:rPr>
          <w:rFonts w:ascii="方正公文小标宋" w:hAnsi="方正公文小标宋" w:eastAsia="方正公文小标宋" w:cs="方正公文小标宋"/>
          <w:bCs/>
          <w:kern w:val="44"/>
          <w:sz w:val="44"/>
          <w:szCs w:val="44"/>
        </w:rPr>
      </w:pPr>
      <w:bookmarkStart w:id="31" w:name="_GoBack"/>
      <w:bookmarkEnd w:id="31"/>
      <w:r>
        <w:rPr>
          <w:rFonts w:hint="eastAsia" w:ascii="方正公文小标宋" w:hAnsi="方正公文小标宋" w:eastAsia="方正公文小标宋" w:cs="方正公文小标宋"/>
          <w:bCs/>
          <w:kern w:val="44"/>
          <w:sz w:val="44"/>
          <w:szCs w:val="44"/>
        </w:rPr>
        <w:t>《太原市知识产权保护和促进条例》</w:t>
      </w:r>
    </w:p>
    <w:p w14:paraId="033D1062">
      <w:pPr>
        <w:jc w:val="center"/>
        <w:rPr>
          <w:rFonts w:ascii="方正公文小标宋" w:hAnsi="方正公文小标宋" w:eastAsia="方正公文小标宋" w:cs="方正公文小标宋"/>
          <w:bCs/>
          <w:kern w:val="44"/>
          <w:sz w:val="44"/>
          <w:szCs w:val="44"/>
        </w:rPr>
      </w:pPr>
      <w:r>
        <w:rPr>
          <w:rFonts w:hint="eastAsia" w:ascii="方正公文小标宋" w:hAnsi="方正公文小标宋" w:eastAsia="方正公文小标宋" w:cs="方正公文小标宋"/>
          <w:bCs/>
          <w:kern w:val="44"/>
          <w:sz w:val="44"/>
          <w:szCs w:val="44"/>
        </w:rPr>
        <w:t>（征求意见稿）</w:t>
      </w:r>
    </w:p>
    <w:p w14:paraId="1E36A218">
      <w:pPr>
        <w:jc w:val="center"/>
        <w:rPr>
          <w:rFonts w:ascii="楷体" w:hAnsi="楷体" w:eastAsia="楷体" w:cs="仿宋"/>
          <w:b/>
          <w:bCs/>
          <w:sz w:val="30"/>
          <w:szCs w:val="30"/>
        </w:rPr>
      </w:pPr>
    </w:p>
    <w:p w14:paraId="605DCB1A">
      <w:pPr>
        <w:jc w:val="center"/>
        <w:rPr>
          <w:rFonts w:ascii="楷体" w:hAnsi="楷体" w:eastAsia="楷体" w:cs="仿宋"/>
          <w:b/>
          <w:bCs/>
          <w:sz w:val="36"/>
          <w:szCs w:val="36"/>
        </w:rPr>
      </w:pPr>
      <w:r>
        <w:rPr>
          <w:rFonts w:hint="eastAsia" w:ascii="楷体" w:hAnsi="楷体" w:eastAsia="楷体" w:cs="仿宋"/>
          <w:b/>
          <w:bCs/>
          <w:sz w:val="36"/>
          <w:szCs w:val="36"/>
        </w:rPr>
        <w:t>第一章 总则</w:t>
      </w:r>
    </w:p>
    <w:p w14:paraId="33AD22F1">
      <w:pPr>
        <w:spacing w:line="240" w:lineRule="exact"/>
        <w:ind w:firstLine="723" w:firstLineChars="200"/>
        <w:jc w:val="left"/>
        <w:rPr>
          <w:rFonts w:ascii="仿宋" w:hAnsi="仿宋" w:eastAsia="仿宋" w:cs="仿宋"/>
          <w:b/>
          <w:sz w:val="36"/>
          <w:szCs w:val="36"/>
        </w:rPr>
      </w:pPr>
    </w:p>
    <w:p w14:paraId="4B680B17">
      <w:pPr>
        <w:ind w:firstLine="723" w:firstLineChars="200"/>
        <w:jc w:val="left"/>
        <w:rPr>
          <w:rFonts w:ascii="仿宋" w:hAnsi="仿宋" w:eastAsia="仿宋" w:cs="仿宋"/>
          <w:sz w:val="36"/>
          <w:szCs w:val="36"/>
        </w:rPr>
      </w:pPr>
      <w:r>
        <w:rPr>
          <w:rFonts w:hint="eastAsia" w:ascii="仿宋" w:hAnsi="仿宋" w:eastAsia="仿宋" w:cs="仿宋"/>
          <w:b/>
          <w:sz w:val="36"/>
          <w:szCs w:val="36"/>
        </w:rPr>
        <w:t>第一条【立法目的和根据】</w:t>
      </w:r>
      <w:r>
        <w:rPr>
          <w:rFonts w:hint="eastAsia" w:ascii="仿宋" w:hAnsi="仿宋" w:eastAsia="仿宋" w:cs="仿宋"/>
          <w:sz w:val="36"/>
          <w:szCs w:val="36"/>
        </w:rPr>
        <w:t>为了加强知识产权保护，激发创新活力，推动知识产权强市建设，促进经济社会高质量发展，根据有关法律、法规，结合本市实际，制定本条例。</w:t>
      </w:r>
    </w:p>
    <w:p w14:paraId="7D20C225">
      <w:pPr>
        <w:ind w:firstLine="723" w:firstLineChars="200"/>
        <w:rPr>
          <w:rFonts w:ascii="仿宋" w:hAnsi="仿宋" w:eastAsia="仿宋" w:cs="仿宋"/>
          <w:sz w:val="36"/>
          <w:szCs w:val="36"/>
        </w:rPr>
      </w:pPr>
      <w:r>
        <w:rPr>
          <w:rFonts w:hint="eastAsia" w:ascii="仿宋" w:hAnsi="仿宋" w:eastAsia="仿宋" w:cs="仿宋"/>
          <w:b/>
          <w:sz w:val="36"/>
          <w:szCs w:val="36"/>
        </w:rPr>
        <w:t>第二条【适用范围】</w:t>
      </w:r>
      <w:r>
        <w:rPr>
          <w:rFonts w:hint="eastAsia" w:ascii="仿宋" w:hAnsi="仿宋" w:eastAsia="仿宋" w:cs="仿宋"/>
          <w:sz w:val="36"/>
          <w:szCs w:val="36"/>
        </w:rPr>
        <w:t>本市行政区域内知识产权保护、促进以及相关活动，适用本条例。</w:t>
      </w:r>
    </w:p>
    <w:p w14:paraId="1EB90B29">
      <w:pPr>
        <w:ind w:firstLine="723" w:firstLineChars="200"/>
        <w:rPr>
          <w:rFonts w:ascii="仿宋" w:hAnsi="仿宋" w:eastAsia="仿宋" w:cs="仿宋"/>
          <w:sz w:val="36"/>
          <w:szCs w:val="36"/>
        </w:rPr>
      </w:pPr>
      <w:r>
        <w:rPr>
          <w:rFonts w:hint="eastAsia" w:ascii="仿宋" w:hAnsi="仿宋" w:eastAsia="仿宋" w:cs="仿宋"/>
          <w:b/>
          <w:sz w:val="36"/>
          <w:szCs w:val="36"/>
        </w:rPr>
        <w:t>第三条【基本原则】</w:t>
      </w:r>
      <w:r>
        <w:rPr>
          <w:rFonts w:hint="eastAsia" w:ascii="仿宋" w:hAnsi="仿宋" w:eastAsia="仿宋" w:cs="仿宋"/>
          <w:sz w:val="36"/>
          <w:szCs w:val="36"/>
        </w:rPr>
        <w:t>知识产权保护和促进工作应当坚持激励创造、强化运用、依法保护、科学管理、优化服务的原则。</w:t>
      </w:r>
    </w:p>
    <w:p w14:paraId="66BA6CF5">
      <w:pPr>
        <w:ind w:firstLine="723" w:firstLineChars="200"/>
        <w:rPr>
          <w:rFonts w:ascii="仿宋" w:hAnsi="仿宋" w:eastAsia="仿宋" w:cs="仿宋"/>
          <w:sz w:val="36"/>
          <w:szCs w:val="36"/>
        </w:rPr>
      </w:pPr>
      <w:r>
        <w:rPr>
          <w:rFonts w:hint="eastAsia" w:ascii="仿宋" w:hAnsi="仿宋" w:eastAsia="仿宋" w:cs="仿宋"/>
          <w:b/>
          <w:sz w:val="36"/>
          <w:szCs w:val="36"/>
        </w:rPr>
        <w:t>第四条【政府职责】</w:t>
      </w:r>
      <w:r>
        <w:rPr>
          <w:rFonts w:hint="eastAsia" w:ascii="仿宋" w:hAnsi="仿宋" w:eastAsia="仿宋" w:cs="仿宋"/>
          <w:sz w:val="36"/>
          <w:szCs w:val="36"/>
        </w:rPr>
        <w:t>市、县（市、区）人民政府应当加强对知识产权保护和促进工作的领导，建立知识产权议事协调机制，将知识产权保护和促进工作纳入国民经济和社会发展规划，制定和实施知识产权发展战略。</w:t>
      </w:r>
    </w:p>
    <w:p w14:paraId="1724AE25">
      <w:pPr>
        <w:ind w:firstLine="720" w:firstLineChars="200"/>
        <w:rPr>
          <w:rFonts w:ascii="仿宋" w:hAnsi="仿宋" w:eastAsia="仿宋" w:cs="仿宋"/>
          <w:sz w:val="36"/>
          <w:szCs w:val="36"/>
        </w:rPr>
      </w:pPr>
      <w:r>
        <w:rPr>
          <w:rFonts w:hint="eastAsia" w:ascii="仿宋" w:hAnsi="仿宋" w:eastAsia="仿宋" w:cs="仿宋"/>
          <w:sz w:val="36"/>
          <w:szCs w:val="36"/>
        </w:rPr>
        <w:t>市、县（市、区）人民政府应当加大知识产权保护与促进工作的财政投入，设立专项资金，其规模与经济、科技发展水平相适应。</w:t>
      </w:r>
    </w:p>
    <w:p w14:paraId="19F48DFA">
      <w:pPr>
        <w:ind w:firstLine="723" w:firstLineChars="200"/>
        <w:rPr>
          <w:rFonts w:ascii="仿宋" w:hAnsi="仿宋" w:eastAsia="仿宋" w:cs="仿宋"/>
          <w:sz w:val="36"/>
          <w:szCs w:val="36"/>
        </w:rPr>
      </w:pPr>
      <w:r>
        <w:rPr>
          <w:rFonts w:hint="eastAsia" w:ascii="仿宋" w:hAnsi="仿宋" w:eastAsia="仿宋" w:cs="仿宋"/>
          <w:b/>
          <w:sz w:val="36"/>
          <w:szCs w:val="36"/>
        </w:rPr>
        <w:t>第五条【部门职责】</w:t>
      </w:r>
      <w:r>
        <w:rPr>
          <w:rFonts w:hint="eastAsia" w:ascii="仿宋" w:hAnsi="仿宋" w:eastAsia="仿宋" w:cs="仿宋"/>
          <w:sz w:val="36"/>
          <w:szCs w:val="36"/>
        </w:rPr>
        <w:t>市场监督管理（知识产权）部门统筹协调本行政区域内知识产权保护与促进工作，依法负责专利、商标、地理标志、商业秘密、集成电路布图设计等知识产权保护及促进工作。</w:t>
      </w:r>
    </w:p>
    <w:p w14:paraId="77B9C92F">
      <w:pPr>
        <w:ind w:firstLine="720" w:firstLineChars="200"/>
        <w:rPr>
          <w:rFonts w:ascii="仿宋" w:hAnsi="仿宋" w:eastAsia="仿宋" w:cs="仿宋"/>
          <w:sz w:val="36"/>
          <w:szCs w:val="36"/>
        </w:rPr>
      </w:pPr>
      <w:bookmarkStart w:id="0" w:name="OLE_LINK3"/>
      <w:r>
        <w:rPr>
          <w:rFonts w:hint="eastAsia" w:ascii="仿宋" w:hAnsi="仿宋" w:eastAsia="仿宋" w:cs="仿宋"/>
          <w:sz w:val="36"/>
          <w:szCs w:val="36"/>
        </w:rPr>
        <w:t>版权、文化和旅游部门</w:t>
      </w:r>
      <w:bookmarkEnd w:id="0"/>
      <w:r>
        <w:rPr>
          <w:rFonts w:hint="eastAsia" w:ascii="仿宋" w:hAnsi="仿宋" w:eastAsia="仿宋" w:cs="仿宋"/>
          <w:sz w:val="36"/>
          <w:szCs w:val="36"/>
        </w:rPr>
        <w:t>依法负责著作权的知识产权保护及促进工作。</w:t>
      </w:r>
    </w:p>
    <w:p w14:paraId="02ADF805">
      <w:pPr>
        <w:ind w:firstLine="720" w:firstLineChars="200"/>
        <w:rPr>
          <w:rFonts w:ascii="仿宋" w:hAnsi="仿宋" w:eastAsia="仿宋" w:cs="仿宋"/>
          <w:sz w:val="36"/>
          <w:szCs w:val="36"/>
        </w:rPr>
      </w:pPr>
      <w:r>
        <w:rPr>
          <w:rFonts w:hint="eastAsia" w:ascii="仿宋" w:hAnsi="仿宋" w:eastAsia="仿宋" w:cs="仿宋"/>
          <w:sz w:val="36"/>
          <w:szCs w:val="36"/>
        </w:rPr>
        <w:t>农业农村、规划和自然资源部门依法负责植物新品种的知识产权保护及促进工作。</w:t>
      </w:r>
    </w:p>
    <w:p w14:paraId="6F620B97">
      <w:pPr>
        <w:ind w:firstLine="720" w:firstLineChars="200"/>
        <w:rPr>
          <w:rFonts w:ascii="仿宋" w:hAnsi="仿宋" w:eastAsia="仿宋" w:cs="仿宋"/>
          <w:sz w:val="36"/>
          <w:szCs w:val="36"/>
        </w:rPr>
      </w:pPr>
      <w:r>
        <w:rPr>
          <w:rFonts w:hint="eastAsia" w:ascii="仿宋" w:hAnsi="仿宋" w:eastAsia="仿宋" w:cs="仿宋"/>
          <w:sz w:val="36"/>
          <w:szCs w:val="36"/>
        </w:rPr>
        <w:t>发展和改革、教育、科技、工业和信息化、公安、民政、司法、财政、人力资源和社会保障、生态环境、商务、文化和旅游、卫生健康、网信、海关、文物等有关部门和单位按照各自职责做好知识产权保护和促进工作。</w:t>
      </w:r>
    </w:p>
    <w:p w14:paraId="79081CDF">
      <w:pPr>
        <w:ind w:firstLine="720" w:firstLineChars="200"/>
        <w:rPr>
          <w:rFonts w:ascii="仿宋" w:hAnsi="仿宋" w:eastAsia="仿宋" w:cs="仿宋"/>
          <w:sz w:val="36"/>
          <w:szCs w:val="36"/>
        </w:rPr>
      </w:pPr>
      <w:r>
        <w:rPr>
          <w:rFonts w:hint="eastAsia" w:ascii="仿宋" w:hAnsi="仿宋" w:eastAsia="仿宋" w:cs="仿宋"/>
          <w:sz w:val="36"/>
          <w:szCs w:val="36"/>
        </w:rPr>
        <w:t>本条第一款、第二款、第三款规定的部门，以下统称负有知识产权管理职责的部门。</w:t>
      </w:r>
    </w:p>
    <w:p w14:paraId="25B06DD1">
      <w:pPr>
        <w:ind w:firstLine="723" w:firstLineChars="200"/>
        <w:rPr>
          <w:rFonts w:ascii="仿宋" w:hAnsi="仿宋" w:eastAsia="仿宋" w:cs="仿宋"/>
          <w:sz w:val="36"/>
          <w:szCs w:val="36"/>
        </w:rPr>
      </w:pPr>
      <w:r>
        <w:rPr>
          <w:rFonts w:hint="eastAsia" w:ascii="仿宋" w:hAnsi="仿宋" w:eastAsia="仿宋" w:cs="仿宋"/>
          <w:b/>
          <w:sz w:val="36"/>
          <w:szCs w:val="36"/>
        </w:rPr>
        <w:t>第六条【知识产权综合治理体系】</w:t>
      </w:r>
      <w:r>
        <w:rPr>
          <w:rFonts w:hint="eastAsia" w:ascii="仿宋" w:hAnsi="仿宋" w:eastAsia="仿宋" w:cs="仿宋"/>
          <w:sz w:val="36"/>
          <w:szCs w:val="36"/>
        </w:rPr>
        <w:t>市、县（市、区）人民政府应当聚焦国家区域中心城市建设，立足本地资源禀赋、产业基础、创新能力和区位优势，深化知识产权保护与促进相关的人才、资金、信息、数据等要素配置，优化覆盖知识产权创造、运用、保护、管理和服务的全链条工作机制，构建与区域发展战略相匹配、权责清晰、协同高效的知识产权综合治理体系。</w:t>
      </w:r>
    </w:p>
    <w:p w14:paraId="30EA1A39">
      <w:pPr>
        <w:ind w:firstLine="723" w:firstLineChars="200"/>
        <w:rPr>
          <w:rFonts w:ascii="仿宋" w:hAnsi="仿宋" w:eastAsia="仿宋" w:cs="仿宋"/>
          <w:sz w:val="36"/>
          <w:szCs w:val="36"/>
        </w:rPr>
      </w:pPr>
      <w:r>
        <w:rPr>
          <w:rFonts w:hint="eastAsia" w:ascii="仿宋" w:hAnsi="仿宋" w:eastAsia="仿宋" w:cs="仿宋"/>
          <w:b/>
          <w:sz w:val="36"/>
          <w:szCs w:val="36"/>
        </w:rPr>
        <w:t>第七条【示范区等探索创新】</w:t>
      </w:r>
      <w:r>
        <w:rPr>
          <w:rFonts w:hint="eastAsia" w:ascii="仿宋" w:hAnsi="仿宋" w:eastAsia="仿宋" w:cs="仿宋"/>
          <w:sz w:val="36"/>
          <w:szCs w:val="36"/>
        </w:rPr>
        <w:t>鼓励和支持各类园区在知识产权保护和促进方面进行探索创新，发挥引领示范作用。山西转型综改示范区、中北高新区、西山示范区、清徐开发区、阳曲示范区以及“晋创谷·太原”等园区应当立足自身功能定位与发展目标，在知识产权转移转化和运营模式等方面先行先试，赋能重点产业和重点领域创新发展，形成可复制推广的经验做法。</w:t>
      </w:r>
    </w:p>
    <w:p w14:paraId="278C0E56">
      <w:pPr>
        <w:ind w:firstLine="723" w:firstLineChars="200"/>
        <w:rPr>
          <w:rFonts w:ascii="仿宋" w:hAnsi="仿宋" w:eastAsia="仿宋" w:cs="仿宋"/>
          <w:sz w:val="36"/>
          <w:szCs w:val="36"/>
        </w:rPr>
      </w:pPr>
      <w:r>
        <w:rPr>
          <w:rFonts w:hint="eastAsia" w:ascii="仿宋" w:hAnsi="仿宋" w:eastAsia="仿宋" w:cs="仿宋"/>
          <w:b/>
          <w:sz w:val="36"/>
          <w:szCs w:val="36"/>
        </w:rPr>
        <w:t>第八条【宣传】</w:t>
      </w:r>
      <w:r>
        <w:rPr>
          <w:rFonts w:hint="eastAsia" w:ascii="仿宋" w:hAnsi="仿宋" w:eastAsia="仿宋" w:cs="仿宋"/>
          <w:sz w:val="36"/>
          <w:szCs w:val="36"/>
        </w:rPr>
        <w:t>市、县（市、区）人民政府及其有关部门应当加强知识产权宣传，结合世界知识产权日等宣传活动，营造有利于创新创造的社会环境，提升全社会知识产权意识。</w:t>
      </w:r>
    </w:p>
    <w:p w14:paraId="4C441542">
      <w:pPr>
        <w:jc w:val="center"/>
        <w:rPr>
          <w:rFonts w:ascii="楷体" w:hAnsi="楷体" w:eastAsia="楷体" w:cs="仿宋"/>
          <w:b/>
          <w:bCs/>
          <w:sz w:val="36"/>
          <w:szCs w:val="36"/>
        </w:rPr>
      </w:pPr>
    </w:p>
    <w:p w14:paraId="039D0B79">
      <w:pPr>
        <w:jc w:val="center"/>
        <w:rPr>
          <w:rFonts w:ascii="楷体" w:hAnsi="楷体" w:eastAsia="楷体" w:cs="仿宋"/>
          <w:b/>
          <w:bCs/>
          <w:sz w:val="36"/>
          <w:szCs w:val="36"/>
        </w:rPr>
      </w:pPr>
      <w:r>
        <w:rPr>
          <w:rFonts w:hint="eastAsia" w:ascii="楷体" w:hAnsi="楷体" w:eastAsia="楷体" w:cs="仿宋"/>
          <w:b/>
          <w:bCs/>
          <w:sz w:val="36"/>
          <w:szCs w:val="36"/>
        </w:rPr>
        <w:t>第二章 保护</w:t>
      </w:r>
    </w:p>
    <w:p w14:paraId="491E03CC">
      <w:pPr>
        <w:spacing w:line="240" w:lineRule="exact"/>
        <w:ind w:firstLine="723" w:firstLineChars="200"/>
        <w:jc w:val="left"/>
        <w:rPr>
          <w:rFonts w:ascii="仿宋" w:hAnsi="仿宋" w:eastAsia="仿宋" w:cs="仿宋"/>
          <w:b/>
          <w:sz w:val="36"/>
          <w:szCs w:val="36"/>
        </w:rPr>
      </w:pPr>
    </w:p>
    <w:p w14:paraId="5F58732F">
      <w:pPr>
        <w:ind w:firstLine="723" w:firstLineChars="200"/>
        <w:jc w:val="left"/>
        <w:rPr>
          <w:rFonts w:ascii="仿宋" w:hAnsi="仿宋" w:eastAsia="仿宋" w:cs="仿宋"/>
          <w:sz w:val="36"/>
          <w:szCs w:val="36"/>
        </w:rPr>
      </w:pPr>
      <w:r>
        <w:rPr>
          <w:rFonts w:hint="eastAsia" w:ascii="仿宋" w:hAnsi="仿宋" w:eastAsia="仿宋" w:cs="仿宋"/>
          <w:b/>
          <w:sz w:val="36"/>
          <w:szCs w:val="36"/>
        </w:rPr>
        <w:t>第九条【知识产权保护体系】</w:t>
      </w:r>
      <w:r>
        <w:rPr>
          <w:rFonts w:hint="eastAsia" w:ascii="仿宋" w:hAnsi="仿宋" w:eastAsia="仿宋" w:cs="仿宋"/>
          <w:sz w:val="36"/>
          <w:szCs w:val="36"/>
        </w:rPr>
        <w:t>建立行政、司法、仲裁、行业自律、社会监督、人民调解的知识产权保护体系，构建分工合理、权界清晰、责权一致、协同高效的保护机制。</w:t>
      </w:r>
    </w:p>
    <w:p w14:paraId="74DC435E">
      <w:pPr>
        <w:widowControl/>
        <w:ind w:firstLine="723" w:firstLineChars="200"/>
        <w:jc w:val="left"/>
        <w:textAlignment w:val="center"/>
        <w:rPr>
          <w:rFonts w:ascii="仿宋" w:hAnsi="仿宋" w:eastAsia="仿宋" w:cs="仿宋"/>
          <w:bCs/>
          <w:color w:val="000000"/>
          <w:kern w:val="0"/>
          <w:sz w:val="36"/>
          <w:szCs w:val="36"/>
          <w:lang w:bidi="ar"/>
        </w:rPr>
      </w:pPr>
      <w:r>
        <w:rPr>
          <w:rFonts w:hint="eastAsia" w:ascii="仿宋" w:hAnsi="仿宋" w:eastAsia="仿宋" w:cs="仿宋"/>
          <w:b/>
          <w:color w:val="000000"/>
          <w:kern w:val="0"/>
          <w:sz w:val="36"/>
          <w:szCs w:val="36"/>
          <w:lang w:bidi="ar"/>
        </w:rPr>
        <w:t>第</w:t>
      </w:r>
      <w:r>
        <w:rPr>
          <w:rStyle w:val="9"/>
          <w:rFonts w:hint="default"/>
          <w:b/>
          <w:sz w:val="36"/>
          <w:szCs w:val="36"/>
          <w:lang w:bidi="ar"/>
        </w:rPr>
        <w:t>十</w:t>
      </w:r>
      <w:r>
        <w:rPr>
          <w:rFonts w:hint="eastAsia" w:ascii="仿宋" w:hAnsi="仿宋" w:eastAsia="仿宋" w:cs="仿宋"/>
          <w:b/>
          <w:color w:val="000000"/>
          <w:kern w:val="0"/>
          <w:sz w:val="36"/>
          <w:szCs w:val="36"/>
          <w:lang w:bidi="ar"/>
        </w:rPr>
        <w:t>条【专利保护】</w:t>
      </w:r>
      <w:bookmarkStart w:id="1" w:name="No23_Z2T8K1"/>
      <w:bookmarkEnd w:id="1"/>
      <w:r>
        <w:rPr>
          <w:rFonts w:hint="eastAsia" w:ascii="仿宋" w:hAnsi="仿宋" w:eastAsia="仿宋" w:cs="仿宋"/>
          <w:color w:val="000000"/>
          <w:kern w:val="0"/>
          <w:sz w:val="36"/>
          <w:szCs w:val="36"/>
          <w:lang w:bidi="ar"/>
        </w:rPr>
        <w:t>市场监督管理（知识产权）部门</w:t>
      </w:r>
      <w:r>
        <w:rPr>
          <w:rFonts w:hint="eastAsia" w:ascii="仿宋" w:hAnsi="仿宋" w:eastAsia="仿宋" w:cs="仿宋"/>
          <w:color w:val="000000"/>
          <w:kern w:val="0"/>
          <w:sz w:val="36"/>
          <w:szCs w:val="36"/>
          <w:lang w:val="zh-CN" w:bidi="ar"/>
        </w:rPr>
        <w:t>应当</w:t>
      </w:r>
      <w:r>
        <w:rPr>
          <w:rFonts w:hint="eastAsia" w:ascii="仿宋" w:hAnsi="仿宋" w:eastAsia="仿宋" w:cs="仿宋"/>
          <w:bCs/>
          <w:color w:val="000000"/>
          <w:kern w:val="0"/>
          <w:sz w:val="36"/>
          <w:szCs w:val="36"/>
          <w:lang w:bidi="ar"/>
        </w:rPr>
        <w:t>加强专利侵权纠纷行政裁决的规范化建设，依法处置假冒专利违法行为。</w:t>
      </w:r>
    </w:p>
    <w:p w14:paraId="3BAE37C0">
      <w:pPr>
        <w:ind w:firstLine="723" w:firstLineChars="200"/>
        <w:jc w:val="left"/>
        <w:rPr>
          <w:rFonts w:ascii="仿宋" w:hAnsi="仿宋" w:eastAsia="仿宋" w:cs="仿宋"/>
          <w:sz w:val="36"/>
          <w:szCs w:val="36"/>
        </w:rPr>
      </w:pPr>
      <w:r>
        <w:rPr>
          <w:rFonts w:hint="eastAsia" w:ascii="仿宋" w:hAnsi="仿宋" w:eastAsia="仿宋" w:cs="仿宋"/>
          <w:b/>
          <w:sz w:val="36"/>
          <w:szCs w:val="36"/>
        </w:rPr>
        <w:t>第十一条【商标保护】</w:t>
      </w:r>
      <w:r>
        <w:rPr>
          <w:rFonts w:hint="eastAsia" w:ascii="仿宋" w:hAnsi="仿宋" w:eastAsia="仿宋" w:cs="仿宋"/>
          <w:sz w:val="36"/>
          <w:szCs w:val="36"/>
        </w:rPr>
        <w:t>市场监督管理（知识产权）部门应当依法健全商标保护制度，完善商标和市场主体名称字号纠纷预防和处理机制，建立太原市重点商标保护名录，加强对驰名商标的保护。</w:t>
      </w:r>
    </w:p>
    <w:p w14:paraId="28F74950">
      <w:pPr>
        <w:ind w:firstLine="723" w:firstLineChars="200"/>
        <w:jc w:val="left"/>
        <w:rPr>
          <w:rFonts w:ascii="仿宋" w:hAnsi="仿宋" w:eastAsia="仿宋" w:cs="仿宋"/>
          <w:sz w:val="36"/>
          <w:szCs w:val="36"/>
        </w:rPr>
      </w:pPr>
      <w:r>
        <w:rPr>
          <w:rFonts w:hint="eastAsia" w:ascii="仿宋" w:hAnsi="仿宋" w:eastAsia="仿宋" w:cs="仿宋"/>
          <w:b/>
          <w:sz w:val="36"/>
          <w:szCs w:val="36"/>
        </w:rPr>
        <w:t>第十二条【地理标志保护】</w:t>
      </w:r>
      <w:r>
        <w:rPr>
          <w:rFonts w:hint="eastAsia" w:ascii="仿宋" w:hAnsi="仿宋" w:eastAsia="仿宋" w:cs="仿宋"/>
          <w:sz w:val="36"/>
          <w:szCs w:val="36"/>
        </w:rPr>
        <w:t>市场监督管理（知识产权）部门应当依法加强对地理标志产品的保护，规范地理标志产品名称和地理标志专用标志的使用。</w:t>
      </w:r>
    </w:p>
    <w:p w14:paraId="51CB9B45">
      <w:pPr>
        <w:ind w:firstLine="720" w:firstLineChars="200"/>
        <w:jc w:val="left"/>
        <w:rPr>
          <w:rFonts w:ascii="仿宋" w:hAnsi="仿宋" w:eastAsia="仿宋" w:cs="仿宋"/>
          <w:sz w:val="36"/>
          <w:szCs w:val="36"/>
        </w:rPr>
      </w:pPr>
      <w:r>
        <w:rPr>
          <w:rFonts w:hint="eastAsia" w:ascii="仿宋" w:hAnsi="仿宋" w:eastAsia="仿宋" w:cs="仿宋"/>
          <w:sz w:val="36"/>
          <w:szCs w:val="36"/>
        </w:rPr>
        <w:t>经营者不得实施下列行为：</w:t>
      </w:r>
    </w:p>
    <w:p w14:paraId="0B7849CD">
      <w:pPr>
        <w:ind w:firstLine="720" w:firstLineChars="200"/>
        <w:jc w:val="left"/>
        <w:rPr>
          <w:rFonts w:ascii="仿宋" w:hAnsi="仿宋" w:eastAsia="仿宋" w:cs="仿宋"/>
          <w:sz w:val="36"/>
          <w:szCs w:val="36"/>
        </w:rPr>
      </w:pPr>
      <w:r>
        <w:rPr>
          <w:rFonts w:hint="eastAsia" w:ascii="仿宋" w:hAnsi="仿宋" w:eastAsia="仿宋" w:cs="仿宋"/>
          <w:sz w:val="36"/>
          <w:szCs w:val="36"/>
        </w:rPr>
        <w:t>（一）在产地范围外的相同或者类似产品上使用受保护的地理标志产品名称；</w:t>
      </w:r>
    </w:p>
    <w:p w14:paraId="0EF869F1">
      <w:pPr>
        <w:ind w:firstLine="720" w:firstLineChars="200"/>
        <w:jc w:val="left"/>
        <w:rPr>
          <w:rFonts w:ascii="仿宋" w:hAnsi="仿宋" w:eastAsia="仿宋" w:cs="仿宋"/>
          <w:sz w:val="36"/>
          <w:szCs w:val="36"/>
        </w:rPr>
      </w:pPr>
      <w:r>
        <w:rPr>
          <w:rFonts w:hint="eastAsia" w:ascii="仿宋" w:hAnsi="仿宋" w:eastAsia="仿宋" w:cs="仿宋"/>
          <w:sz w:val="36"/>
          <w:szCs w:val="36"/>
        </w:rPr>
        <w:t>（二）在产地范围外的相同或者类似产品上使用与受保护的地理标志产品名称相似的名称，误导公众；</w:t>
      </w:r>
    </w:p>
    <w:p w14:paraId="783B640F">
      <w:pPr>
        <w:ind w:firstLine="720" w:firstLineChars="200"/>
        <w:jc w:val="left"/>
        <w:rPr>
          <w:rFonts w:ascii="仿宋" w:hAnsi="仿宋" w:eastAsia="仿宋" w:cs="仿宋"/>
          <w:sz w:val="36"/>
          <w:szCs w:val="36"/>
        </w:rPr>
      </w:pPr>
      <w:r>
        <w:rPr>
          <w:rFonts w:hint="eastAsia" w:ascii="仿宋" w:hAnsi="仿宋" w:eastAsia="仿宋" w:cs="仿宋"/>
          <w:sz w:val="36"/>
          <w:szCs w:val="36"/>
        </w:rPr>
        <w:t>（三）将受保护的地理标志产品名称用于产地范围外的相同或者类似产品上，即使已标明真实产地，或者使用翻译名称，或者伴有如“种”“型”“式”“类”“风格”“工艺”“技术”等之类表述；</w:t>
      </w:r>
    </w:p>
    <w:p w14:paraId="6F8B6098">
      <w:pPr>
        <w:ind w:firstLine="720" w:firstLineChars="200"/>
        <w:jc w:val="left"/>
        <w:rPr>
          <w:rFonts w:ascii="仿宋" w:hAnsi="仿宋" w:eastAsia="仿宋" w:cs="仿宋"/>
          <w:sz w:val="36"/>
          <w:szCs w:val="36"/>
        </w:rPr>
      </w:pPr>
      <w:r>
        <w:rPr>
          <w:rFonts w:hint="eastAsia" w:ascii="仿宋" w:hAnsi="仿宋" w:eastAsia="仿宋" w:cs="仿宋"/>
          <w:sz w:val="36"/>
          <w:szCs w:val="36"/>
        </w:rPr>
        <w:t>（四）在产地范围内的不符合地理标志产品标准和管理规范要求的产品上使用受保护的地理标志产品名称；</w:t>
      </w:r>
    </w:p>
    <w:p w14:paraId="670D95F2">
      <w:pPr>
        <w:ind w:firstLine="720" w:firstLineChars="200"/>
        <w:jc w:val="left"/>
        <w:rPr>
          <w:rFonts w:ascii="仿宋" w:hAnsi="仿宋" w:eastAsia="仿宋" w:cs="仿宋"/>
          <w:sz w:val="36"/>
          <w:szCs w:val="36"/>
        </w:rPr>
      </w:pPr>
      <w:r>
        <w:rPr>
          <w:rFonts w:hint="eastAsia" w:ascii="仿宋" w:hAnsi="仿宋" w:eastAsia="仿宋" w:cs="仿宋"/>
          <w:sz w:val="36"/>
          <w:szCs w:val="36"/>
        </w:rPr>
        <w:t>（五）将受保护的地理标志产品名称作为企业名称中的字号使用，误导公众；</w:t>
      </w:r>
    </w:p>
    <w:p w14:paraId="7B5780E7">
      <w:pPr>
        <w:ind w:firstLine="720" w:firstLineChars="200"/>
        <w:jc w:val="left"/>
        <w:rPr>
          <w:rFonts w:ascii="仿宋" w:hAnsi="仿宋" w:eastAsia="仿宋" w:cs="仿宋"/>
          <w:sz w:val="36"/>
          <w:szCs w:val="36"/>
        </w:rPr>
      </w:pPr>
      <w:r>
        <w:rPr>
          <w:rFonts w:hint="eastAsia" w:ascii="仿宋" w:hAnsi="仿宋" w:eastAsia="仿宋" w:cs="仿宋"/>
          <w:sz w:val="36"/>
          <w:szCs w:val="36"/>
        </w:rPr>
        <w:t>（六）在产品上冒用地理标志专用标志；</w:t>
      </w:r>
    </w:p>
    <w:p w14:paraId="0667C87F">
      <w:pPr>
        <w:ind w:firstLine="720" w:firstLineChars="200"/>
        <w:jc w:val="left"/>
        <w:rPr>
          <w:rFonts w:ascii="仿宋" w:hAnsi="仿宋" w:eastAsia="仿宋" w:cs="仿宋"/>
          <w:sz w:val="36"/>
          <w:szCs w:val="36"/>
        </w:rPr>
      </w:pPr>
      <w:r>
        <w:rPr>
          <w:rFonts w:hint="eastAsia" w:ascii="仿宋" w:hAnsi="仿宋" w:eastAsia="仿宋" w:cs="仿宋"/>
          <w:sz w:val="36"/>
          <w:szCs w:val="36"/>
        </w:rPr>
        <w:t>（七）在产品上使用与地理标志专用标志近似或者可能误导消费者的文字或者图案标志，误导公众；</w:t>
      </w:r>
    </w:p>
    <w:p w14:paraId="302303E9">
      <w:pPr>
        <w:ind w:firstLine="720" w:firstLineChars="200"/>
        <w:jc w:val="left"/>
        <w:rPr>
          <w:rFonts w:ascii="仿宋" w:hAnsi="仿宋" w:eastAsia="仿宋" w:cs="仿宋"/>
          <w:sz w:val="36"/>
          <w:szCs w:val="36"/>
        </w:rPr>
      </w:pPr>
      <w:r>
        <w:rPr>
          <w:rFonts w:hint="eastAsia" w:ascii="仿宋" w:hAnsi="仿宋" w:eastAsia="仿宋" w:cs="仿宋"/>
          <w:sz w:val="36"/>
          <w:szCs w:val="36"/>
        </w:rPr>
        <w:t>（八）销售上述产品；</w:t>
      </w:r>
    </w:p>
    <w:p w14:paraId="3EC4DA78">
      <w:pPr>
        <w:ind w:firstLine="720" w:firstLineChars="200"/>
        <w:jc w:val="left"/>
        <w:rPr>
          <w:rFonts w:ascii="仿宋" w:hAnsi="仿宋" w:eastAsia="仿宋" w:cs="仿宋"/>
          <w:sz w:val="36"/>
          <w:szCs w:val="36"/>
        </w:rPr>
      </w:pPr>
      <w:r>
        <w:rPr>
          <w:rFonts w:hint="eastAsia" w:ascii="仿宋" w:hAnsi="仿宋" w:eastAsia="仿宋" w:cs="仿宋"/>
          <w:sz w:val="36"/>
          <w:szCs w:val="36"/>
        </w:rPr>
        <w:t>（九）伪造地理标志专用标志；</w:t>
      </w:r>
    </w:p>
    <w:p w14:paraId="5333FD8F">
      <w:pPr>
        <w:ind w:firstLine="720" w:firstLineChars="200"/>
        <w:jc w:val="left"/>
        <w:rPr>
          <w:rFonts w:ascii="仿宋" w:hAnsi="仿宋" w:eastAsia="仿宋" w:cs="仿宋"/>
          <w:sz w:val="36"/>
          <w:szCs w:val="36"/>
        </w:rPr>
      </w:pPr>
      <w:r>
        <w:rPr>
          <w:rFonts w:hint="eastAsia" w:ascii="仿宋" w:hAnsi="仿宋" w:eastAsia="仿宋" w:cs="仿宋"/>
          <w:sz w:val="36"/>
          <w:szCs w:val="36"/>
        </w:rPr>
        <w:t>（十）其他不符合相关法律法规规定的行为。</w:t>
      </w:r>
    </w:p>
    <w:p w14:paraId="1091FCE9">
      <w:pPr>
        <w:ind w:firstLine="720" w:firstLineChars="200"/>
        <w:jc w:val="left"/>
        <w:rPr>
          <w:rFonts w:ascii="仿宋" w:hAnsi="仿宋" w:eastAsia="仿宋" w:cs="仿宋"/>
          <w:sz w:val="36"/>
          <w:szCs w:val="36"/>
        </w:rPr>
      </w:pPr>
      <w:r>
        <w:rPr>
          <w:rFonts w:hint="eastAsia" w:ascii="仿宋" w:hAnsi="仿宋" w:eastAsia="仿宋" w:cs="仿宋"/>
          <w:sz w:val="36"/>
          <w:szCs w:val="36"/>
        </w:rPr>
        <w:t>经营者实施本条第二款第一项至第七项规定的行为，构成不正当竞争的，依据《中华人民共和国反不正当竞争法》处理。</w:t>
      </w:r>
    </w:p>
    <w:p w14:paraId="4CDAC56E">
      <w:pPr>
        <w:ind w:firstLine="720" w:firstLineChars="200"/>
        <w:jc w:val="left"/>
        <w:rPr>
          <w:rFonts w:ascii="仿宋" w:hAnsi="仿宋" w:eastAsia="仿宋" w:cs="仿宋"/>
          <w:sz w:val="36"/>
          <w:szCs w:val="36"/>
        </w:rPr>
      </w:pPr>
      <w:r>
        <w:rPr>
          <w:rFonts w:hint="eastAsia" w:ascii="仿宋" w:hAnsi="仿宋" w:eastAsia="仿宋" w:cs="仿宋"/>
          <w:sz w:val="36"/>
          <w:szCs w:val="36"/>
        </w:rPr>
        <w:t>经营者实施本条规定的禁止行为的，违反有关产品质量、标准方面规定的，依据《中华人民共和国产品质量法》《中华人民共和国标准化法》处理。</w:t>
      </w:r>
    </w:p>
    <w:p w14:paraId="34E0D226">
      <w:pPr>
        <w:ind w:firstLine="723" w:firstLineChars="200"/>
        <w:jc w:val="left"/>
        <w:rPr>
          <w:rFonts w:ascii="仿宋" w:hAnsi="仿宋" w:eastAsia="仿宋" w:cs="仿宋"/>
          <w:sz w:val="36"/>
          <w:szCs w:val="36"/>
        </w:rPr>
      </w:pPr>
      <w:bookmarkStart w:id="2" w:name="OLE_LINK10"/>
      <w:bookmarkStart w:id="3" w:name="OLE_LINK9"/>
      <w:bookmarkStart w:id="4" w:name="OLE_LINK11"/>
      <w:r>
        <w:rPr>
          <w:rFonts w:hint="eastAsia" w:ascii="仿宋" w:hAnsi="仿宋" w:eastAsia="仿宋" w:cs="仿宋"/>
          <w:b/>
          <w:sz w:val="36"/>
          <w:szCs w:val="36"/>
        </w:rPr>
        <w:t>第十三条 【商业秘密保护】</w:t>
      </w:r>
      <w:r>
        <w:rPr>
          <w:rFonts w:hint="eastAsia" w:ascii="仿宋" w:hAnsi="仿宋" w:eastAsia="仿宋" w:cs="仿宋"/>
          <w:sz w:val="36"/>
          <w:szCs w:val="36"/>
        </w:rPr>
        <w:t>市场监督管理（知识产权）部门应当指导企业建立健全商业秘密内部管理制度，推广使用商业秘密存证、区块链加密、分级授权、员工保密协议、竞业限制等保护工具。</w:t>
      </w:r>
    </w:p>
    <w:p w14:paraId="4881B7D5">
      <w:pPr>
        <w:ind w:firstLine="720" w:firstLineChars="200"/>
        <w:jc w:val="left"/>
        <w:rPr>
          <w:rFonts w:ascii="仿宋" w:hAnsi="仿宋" w:eastAsia="仿宋" w:cs="仿宋"/>
          <w:sz w:val="36"/>
          <w:szCs w:val="36"/>
        </w:rPr>
      </w:pPr>
      <w:r>
        <w:rPr>
          <w:rFonts w:hint="eastAsia" w:ascii="仿宋" w:hAnsi="仿宋" w:eastAsia="仿宋" w:cs="仿宋"/>
          <w:sz w:val="36"/>
          <w:szCs w:val="36"/>
        </w:rPr>
        <w:t>市场监督管理（知识产权）部门应当会同有关部门共同推进商业秘密保护体系建设，加强对技术密集型企业、创新型企业等单位商业秘密保护工作指导，探索构建商业秘密保护联络员制度。</w:t>
      </w:r>
    </w:p>
    <w:bookmarkEnd w:id="2"/>
    <w:bookmarkEnd w:id="3"/>
    <w:bookmarkEnd w:id="4"/>
    <w:p w14:paraId="01135DD8">
      <w:pPr>
        <w:ind w:firstLine="723" w:firstLineChars="200"/>
        <w:jc w:val="left"/>
        <w:rPr>
          <w:rFonts w:ascii="仿宋" w:hAnsi="仿宋" w:eastAsia="仿宋" w:cs="仿宋"/>
          <w:sz w:val="36"/>
          <w:szCs w:val="36"/>
        </w:rPr>
      </w:pPr>
      <w:r>
        <w:rPr>
          <w:rFonts w:hint="eastAsia" w:ascii="仿宋" w:hAnsi="仿宋" w:eastAsia="仿宋" w:cs="仿宋"/>
          <w:b/>
          <w:sz w:val="36"/>
          <w:szCs w:val="36"/>
        </w:rPr>
        <w:t>第十四条 【数据知识产权保护】</w:t>
      </w:r>
      <w:r>
        <w:rPr>
          <w:rFonts w:hint="eastAsia" w:ascii="仿宋" w:hAnsi="仿宋" w:eastAsia="仿宋" w:cs="仿宋"/>
          <w:sz w:val="36"/>
          <w:szCs w:val="36"/>
        </w:rPr>
        <w:t>市场监督管理（知识产权）部门应当会同有关部门探索建立数据知识产权登记、存证、评估、交易、维权一体化保护机制，依法保护数据收集、存储、加工、使用过程中形成的知识产权，指导权利人做好与数据相关的登记以及数字技术、产品、服务的规范经营。</w:t>
      </w:r>
    </w:p>
    <w:p w14:paraId="0681E87F">
      <w:pPr>
        <w:ind w:firstLine="720" w:firstLineChars="200"/>
        <w:jc w:val="left"/>
        <w:rPr>
          <w:rFonts w:ascii="仿宋" w:hAnsi="仿宋" w:eastAsia="仿宋" w:cs="仿宋"/>
          <w:sz w:val="36"/>
          <w:szCs w:val="36"/>
        </w:rPr>
      </w:pPr>
      <w:r>
        <w:rPr>
          <w:rFonts w:hint="eastAsia" w:ascii="仿宋" w:hAnsi="仿宋" w:eastAsia="仿宋" w:cs="仿宋"/>
          <w:sz w:val="36"/>
          <w:szCs w:val="36"/>
        </w:rPr>
        <w:t>支持金融、教育、医疗卫生、文化和旅游、智能制造等行业创新数据联合使用、分析和加工等场景的知识产权保护。</w:t>
      </w:r>
    </w:p>
    <w:p w14:paraId="4288751A">
      <w:pPr>
        <w:ind w:firstLine="720" w:firstLineChars="200"/>
        <w:jc w:val="left"/>
        <w:rPr>
          <w:rFonts w:ascii="仿宋" w:hAnsi="仿宋" w:eastAsia="仿宋" w:cs="仿宋"/>
          <w:sz w:val="36"/>
          <w:szCs w:val="36"/>
        </w:rPr>
      </w:pPr>
      <w:r>
        <w:rPr>
          <w:rFonts w:hint="eastAsia" w:ascii="仿宋" w:hAnsi="仿宋" w:eastAsia="仿宋" w:cs="仿宋"/>
          <w:sz w:val="36"/>
          <w:szCs w:val="36"/>
        </w:rPr>
        <w:t>鼓励第三方专业服务机构拓展与数据相关的知识产权存证、公证、评估、鉴定等服务。</w:t>
      </w:r>
    </w:p>
    <w:p w14:paraId="0B59DCE3">
      <w:pPr>
        <w:ind w:firstLine="723" w:firstLineChars="200"/>
        <w:jc w:val="left"/>
        <w:rPr>
          <w:rFonts w:ascii="仿宋" w:hAnsi="仿宋" w:eastAsia="仿宋" w:cs="仿宋"/>
          <w:b/>
          <w:color w:val="FF0000"/>
          <w:sz w:val="36"/>
          <w:szCs w:val="36"/>
        </w:rPr>
      </w:pPr>
      <w:bookmarkStart w:id="5" w:name="OLE_LINK2"/>
      <w:bookmarkStart w:id="6" w:name="OLE_LINK1"/>
      <w:r>
        <w:rPr>
          <w:rFonts w:hint="eastAsia" w:ascii="仿宋" w:hAnsi="仿宋" w:eastAsia="仿宋" w:cs="仿宋"/>
          <w:b/>
          <w:sz w:val="36"/>
          <w:szCs w:val="36"/>
        </w:rPr>
        <w:t>第十五条【版权保护】</w:t>
      </w:r>
      <w:r>
        <w:rPr>
          <w:rFonts w:hint="eastAsia" w:ascii="仿宋" w:hAnsi="仿宋" w:eastAsia="仿宋" w:cs="仿宋"/>
          <w:sz w:val="36"/>
          <w:szCs w:val="36"/>
        </w:rPr>
        <w:t>版权、文化和旅游部门应当加强著作权保护，鼓励和引导创作者作品登记，建立健全重点作品保护预警制度，加强对侵权违法行为的监管。</w:t>
      </w:r>
    </w:p>
    <w:bookmarkEnd w:id="5"/>
    <w:bookmarkEnd w:id="6"/>
    <w:p w14:paraId="769C1E2F">
      <w:pPr>
        <w:ind w:firstLine="723" w:firstLineChars="200"/>
        <w:jc w:val="left"/>
        <w:rPr>
          <w:rFonts w:ascii="仿宋" w:hAnsi="仿宋" w:eastAsia="仿宋" w:cs="仿宋"/>
          <w:sz w:val="36"/>
          <w:szCs w:val="36"/>
        </w:rPr>
      </w:pPr>
      <w:r>
        <w:rPr>
          <w:rFonts w:hint="eastAsia" w:ascii="仿宋" w:hAnsi="仿宋" w:eastAsia="仿宋" w:cs="仿宋"/>
          <w:b/>
          <w:sz w:val="36"/>
          <w:szCs w:val="36"/>
        </w:rPr>
        <w:t>第十六条【植物新品种保护】</w:t>
      </w:r>
      <w:r>
        <w:rPr>
          <w:rFonts w:hint="eastAsia" w:ascii="仿宋" w:hAnsi="仿宋" w:eastAsia="仿宋" w:cs="仿宋"/>
          <w:sz w:val="36"/>
          <w:szCs w:val="36"/>
        </w:rPr>
        <w:t>农业农村、规划和自然资源部门应当加强优良植物新品种的保护，依法查处假冒授权品种和侵犯植物新品种权违法行为。</w:t>
      </w:r>
    </w:p>
    <w:p w14:paraId="10249BD1">
      <w:pPr>
        <w:ind w:firstLine="720" w:firstLineChars="200"/>
        <w:jc w:val="left"/>
        <w:rPr>
          <w:rFonts w:ascii="仿宋" w:hAnsi="仿宋" w:eastAsia="仿宋" w:cs="仿宋"/>
          <w:sz w:val="36"/>
          <w:szCs w:val="36"/>
        </w:rPr>
      </w:pPr>
      <w:r>
        <w:rPr>
          <w:rFonts w:hint="eastAsia" w:ascii="仿宋" w:hAnsi="仿宋" w:eastAsia="仿宋" w:cs="仿宋"/>
          <w:sz w:val="36"/>
          <w:szCs w:val="36"/>
        </w:rPr>
        <w:t>建立太原市重要植物新品种保护名录，对纳入名录的知识产权实行主动监测、专项执法、快速维权。</w:t>
      </w:r>
    </w:p>
    <w:p w14:paraId="7B2558AE">
      <w:pPr>
        <w:ind w:firstLine="708" w:firstLineChars="196"/>
        <w:jc w:val="left"/>
        <w:rPr>
          <w:rFonts w:ascii="仿宋" w:hAnsi="仿宋" w:eastAsia="仿宋" w:cs="仿宋"/>
          <w:sz w:val="36"/>
          <w:szCs w:val="36"/>
        </w:rPr>
      </w:pPr>
      <w:r>
        <w:rPr>
          <w:rFonts w:hint="eastAsia" w:ascii="仿宋" w:hAnsi="仿宋" w:eastAsia="仿宋" w:cs="仿宋"/>
          <w:b/>
          <w:sz w:val="36"/>
          <w:szCs w:val="36"/>
        </w:rPr>
        <w:t>第十七条【生成式人工智能知识产权保护】</w:t>
      </w:r>
      <w:r>
        <w:rPr>
          <w:rFonts w:hint="eastAsia" w:ascii="仿宋" w:hAnsi="仿宋" w:eastAsia="仿宋" w:cs="仿宋"/>
          <w:sz w:val="36"/>
          <w:szCs w:val="36"/>
        </w:rPr>
        <w:t xml:space="preserve"> 负有知识产权管理职责的部门应当会同有关部门探索建立生成式人工智能知识产权保护机制，为相关产业创新发展提供安全空间。</w:t>
      </w:r>
    </w:p>
    <w:p w14:paraId="12476765">
      <w:pPr>
        <w:jc w:val="left"/>
        <w:rPr>
          <w:rFonts w:ascii="仿宋" w:hAnsi="仿宋" w:eastAsia="仿宋" w:cs="仿宋"/>
          <w:sz w:val="36"/>
          <w:szCs w:val="36"/>
        </w:rPr>
      </w:pPr>
      <w:r>
        <w:rPr>
          <w:rFonts w:hint="eastAsia" w:ascii="仿宋" w:hAnsi="仿宋" w:eastAsia="仿宋" w:cs="仿宋"/>
          <w:sz w:val="36"/>
          <w:szCs w:val="36"/>
        </w:rPr>
        <w:t xml:space="preserve">    </w:t>
      </w:r>
      <w:r>
        <w:rPr>
          <w:rFonts w:hint="eastAsia" w:ascii="仿宋" w:hAnsi="仿宋" w:eastAsia="仿宋" w:cs="仿宋"/>
          <w:b/>
          <w:sz w:val="36"/>
          <w:szCs w:val="36"/>
        </w:rPr>
        <w:t>第十八条【电子商务与网络平台治理】</w:t>
      </w:r>
      <w:r>
        <w:rPr>
          <w:rFonts w:hint="eastAsia" w:ascii="仿宋" w:hAnsi="仿宋" w:eastAsia="仿宋" w:cs="仿宋"/>
          <w:sz w:val="36"/>
          <w:szCs w:val="36"/>
        </w:rPr>
        <w:t>负有知识产权管理职责的部门应当会同有关部门制定电子商务知识产权保护指引，规范电子商务平台经营者的侵权投诉处理行为，引导和督促电子商务平台经营者履行知识产权保护义务。</w:t>
      </w:r>
    </w:p>
    <w:p w14:paraId="7763886F">
      <w:pPr>
        <w:ind w:firstLine="720" w:firstLineChars="200"/>
        <w:jc w:val="left"/>
        <w:rPr>
          <w:rFonts w:ascii="仿宋" w:hAnsi="仿宋" w:eastAsia="仿宋" w:cs="仿宋"/>
          <w:sz w:val="36"/>
          <w:szCs w:val="36"/>
        </w:rPr>
      </w:pPr>
      <w:r>
        <w:rPr>
          <w:rFonts w:hint="eastAsia" w:ascii="仿宋" w:hAnsi="仿宋" w:eastAsia="仿宋" w:cs="仿宋"/>
          <w:sz w:val="36"/>
          <w:szCs w:val="36"/>
        </w:rPr>
        <w:t>电子商务平台经营者应当建立知识产权内部管理机制和侵权快速反应机制，及时处理相关知识产权纠纷，维护电子商务领域知识产权权利人的合法权益。</w:t>
      </w:r>
    </w:p>
    <w:p w14:paraId="16B034AC">
      <w:pPr>
        <w:ind w:firstLine="723" w:firstLineChars="200"/>
        <w:jc w:val="left"/>
        <w:rPr>
          <w:rFonts w:ascii="仿宋" w:hAnsi="仿宋" w:eastAsia="仿宋" w:cs="仿宋"/>
          <w:sz w:val="36"/>
          <w:szCs w:val="36"/>
        </w:rPr>
      </w:pPr>
      <w:r>
        <w:rPr>
          <w:rFonts w:hint="eastAsia" w:ascii="仿宋" w:hAnsi="仿宋" w:eastAsia="仿宋" w:cs="仿宋"/>
          <w:b/>
          <w:sz w:val="36"/>
          <w:szCs w:val="36"/>
        </w:rPr>
        <w:t>第十九条 【展会知识产权保护】</w:t>
      </w:r>
      <w:r>
        <w:rPr>
          <w:rFonts w:hint="eastAsia" w:ascii="仿宋" w:hAnsi="仿宋" w:eastAsia="仿宋" w:cs="仿宋"/>
          <w:sz w:val="36"/>
          <w:szCs w:val="36"/>
        </w:rPr>
        <w:t>在本市举办展览会、展示会、博览会、交易会等重大活动的，主办方应当履行下列义务：</w:t>
      </w:r>
    </w:p>
    <w:p w14:paraId="244E7BE6">
      <w:pPr>
        <w:ind w:firstLine="360" w:firstLineChars="100"/>
        <w:jc w:val="left"/>
        <w:rPr>
          <w:rFonts w:ascii="仿宋" w:hAnsi="仿宋" w:eastAsia="仿宋" w:cs="仿宋"/>
          <w:sz w:val="36"/>
          <w:szCs w:val="36"/>
        </w:rPr>
      </w:pPr>
      <w:r>
        <w:rPr>
          <w:rFonts w:hint="eastAsia" w:ascii="仿宋" w:hAnsi="仿宋" w:eastAsia="仿宋" w:cs="仿宋"/>
          <w:sz w:val="36"/>
          <w:szCs w:val="36"/>
        </w:rPr>
        <w:t>（一）展前对参展项目知识产权状况进行审查，并要求参展方提交书面合规承诺；</w:t>
      </w:r>
    </w:p>
    <w:p w14:paraId="15D067FF">
      <w:pPr>
        <w:ind w:firstLine="360" w:firstLineChars="100"/>
        <w:jc w:val="left"/>
        <w:rPr>
          <w:rFonts w:ascii="仿宋" w:hAnsi="仿宋" w:eastAsia="仿宋" w:cs="仿宋"/>
          <w:sz w:val="36"/>
          <w:szCs w:val="36"/>
        </w:rPr>
      </w:pPr>
      <w:r>
        <w:rPr>
          <w:rFonts w:hint="eastAsia" w:ascii="仿宋" w:hAnsi="仿宋" w:eastAsia="仿宋" w:cs="仿宋"/>
          <w:sz w:val="36"/>
          <w:szCs w:val="36"/>
        </w:rPr>
        <w:t>（二）公布知识产权投诉受理、处置的程序和规则，公布涉嫌侵犯知识产权参展产品的处理措施和申诉规则；</w:t>
      </w:r>
    </w:p>
    <w:p w14:paraId="2E6D933C">
      <w:pPr>
        <w:ind w:firstLine="360" w:firstLineChars="100"/>
        <w:jc w:val="left"/>
        <w:rPr>
          <w:rFonts w:ascii="仿宋" w:hAnsi="仿宋" w:eastAsia="仿宋" w:cs="仿宋"/>
          <w:sz w:val="36"/>
          <w:szCs w:val="36"/>
        </w:rPr>
      </w:pPr>
      <w:r>
        <w:rPr>
          <w:rFonts w:hint="eastAsia" w:ascii="仿宋" w:hAnsi="仿宋" w:eastAsia="仿宋" w:cs="仿宋"/>
          <w:sz w:val="36"/>
          <w:szCs w:val="36"/>
        </w:rPr>
        <w:t>（三）配合行政机关、司法机关开展知识产权保护调查、处理；</w:t>
      </w:r>
    </w:p>
    <w:p w14:paraId="11250E84">
      <w:pPr>
        <w:ind w:firstLine="360" w:firstLineChars="100"/>
        <w:jc w:val="left"/>
        <w:rPr>
          <w:rFonts w:ascii="仿宋" w:hAnsi="仿宋" w:eastAsia="仿宋" w:cs="仿宋"/>
          <w:sz w:val="36"/>
          <w:szCs w:val="36"/>
        </w:rPr>
      </w:pPr>
      <w:r>
        <w:rPr>
          <w:rFonts w:hint="eastAsia" w:ascii="仿宋" w:hAnsi="仿宋" w:eastAsia="仿宋" w:cs="仿宋"/>
          <w:sz w:val="36"/>
          <w:szCs w:val="36"/>
        </w:rPr>
        <w:t>（四）展期三天以上的，应当设立知识产权保护工作机构并公布联系方式，发现涉嫌侵权的，立即要求参展方撤展并报告</w:t>
      </w:r>
      <w:bookmarkStart w:id="7" w:name="OLE_LINK5"/>
      <w:r>
        <w:rPr>
          <w:rFonts w:hint="eastAsia" w:ascii="仿宋" w:hAnsi="仿宋" w:eastAsia="仿宋" w:cs="仿宋"/>
          <w:sz w:val="36"/>
          <w:szCs w:val="36"/>
        </w:rPr>
        <w:t>负有知识产权管理职责的部门</w:t>
      </w:r>
      <w:bookmarkEnd w:id="7"/>
      <w:r>
        <w:rPr>
          <w:rFonts w:hint="eastAsia" w:ascii="仿宋" w:hAnsi="仿宋" w:eastAsia="仿宋" w:cs="仿宋"/>
          <w:sz w:val="36"/>
          <w:szCs w:val="36"/>
        </w:rPr>
        <w:t>；</w:t>
      </w:r>
    </w:p>
    <w:p w14:paraId="19974E0E">
      <w:pPr>
        <w:ind w:firstLine="360" w:firstLineChars="100"/>
        <w:jc w:val="left"/>
        <w:rPr>
          <w:rFonts w:ascii="仿宋" w:hAnsi="仿宋" w:eastAsia="仿宋" w:cs="仿宋"/>
          <w:sz w:val="36"/>
          <w:szCs w:val="36"/>
        </w:rPr>
      </w:pPr>
      <w:r>
        <w:rPr>
          <w:rFonts w:hint="eastAsia" w:ascii="仿宋" w:hAnsi="仿宋" w:eastAsia="仿宋" w:cs="仿宋"/>
          <w:sz w:val="36"/>
          <w:szCs w:val="36"/>
        </w:rPr>
        <w:t>（五）法律、法规规定的其他义务。</w:t>
      </w:r>
    </w:p>
    <w:p w14:paraId="79C27F00">
      <w:pPr>
        <w:jc w:val="left"/>
        <w:rPr>
          <w:rFonts w:ascii="仿宋" w:hAnsi="仿宋" w:eastAsia="仿宋" w:cs="仿宋"/>
          <w:sz w:val="36"/>
          <w:szCs w:val="36"/>
        </w:rPr>
      </w:pPr>
      <w:r>
        <w:rPr>
          <w:rFonts w:hint="eastAsia" w:ascii="仿宋" w:hAnsi="仿宋" w:eastAsia="仿宋" w:cs="仿宋"/>
          <w:sz w:val="36"/>
          <w:szCs w:val="36"/>
        </w:rPr>
        <w:t xml:space="preserve">    </w:t>
      </w:r>
      <w:r>
        <w:rPr>
          <w:rFonts w:hint="eastAsia" w:ascii="仿宋" w:hAnsi="仿宋" w:eastAsia="仿宋" w:cs="仿宋"/>
          <w:b/>
          <w:sz w:val="36"/>
          <w:szCs w:val="36"/>
        </w:rPr>
        <w:t>第二十条【体育赛事、文娱活动】</w:t>
      </w:r>
      <w:r>
        <w:rPr>
          <w:rFonts w:hint="eastAsia" w:ascii="仿宋" w:hAnsi="仿宋" w:eastAsia="仿宋" w:cs="仿宋"/>
          <w:sz w:val="36"/>
          <w:szCs w:val="36"/>
        </w:rPr>
        <w:t>大型文化、体育等活动的主办方、承办方应当完善知识产权授权合作机制和风险管控机制，规范活动中知识产权使用行为。</w:t>
      </w:r>
    </w:p>
    <w:p w14:paraId="22244265">
      <w:pPr>
        <w:ind w:firstLine="723" w:firstLineChars="200"/>
        <w:jc w:val="left"/>
        <w:rPr>
          <w:rFonts w:ascii="仿宋" w:hAnsi="仿宋" w:eastAsia="仿宋" w:cs="仿宋"/>
          <w:sz w:val="36"/>
          <w:szCs w:val="36"/>
        </w:rPr>
      </w:pPr>
      <w:r>
        <w:rPr>
          <w:rFonts w:hint="eastAsia" w:ascii="仿宋" w:hAnsi="仿宋" w:eastAsia="仿宋" w:cs="仿宋"/>
          <w:b/>
          <w:sz w:val="36"/>
          <w:szCs w:val="36"/>
        </w:rPr>
        <w:t>第二十一条【知识产权保护中心】</w:t>
      </w:r>
      <w:r>
        <w:rPr>
          <w:rFonts w:hint="eastAsia" w:ascii="仿宋" w:hAnsi="仿宋" w:eastAsia="仿宋" w:cs="仿宋"/>
          <w:sz w:val="36"/>
          <w:szCs w:val="36"/>
        </w:rPr>
        <w:t>市、县（市、区）人民政府及其有关部门应当完善知识产权快速协同保护机制，推进知识产权保护中心和具有特色的知识产权快速维权中心建设。</w:t>
      </w:r>
    </w:p>
    <w:p w14:paraId="4C9D69A9">
      <w:pPr>
        <w:ind w:firstLine="720" w:firstLineChars="200"/>
        <w:jc w:val="left"/>
        <w:rPr>
          <w:rFonts w:ascii="仿宋" w:hAnsi="仿宋" w:eastAsia="仿宋" w:cs="仿宋"/>
          <w:sz w:val="36"/>
          <w:szCs w:val="36"/>
        </w:rPr>
      </w:pPr>
      <w:r>
        <w:rPr>
          <w:rFonts w:hint="eastAsia" w:ascii="仿宋" w:hAnsi="仿宋" w:eastAsia="仿宋" w:cs="仿宋"/>
          <w:sz w:val="36"/>
          <w:szCs w:val="36"/>
        </w:rPr>
        <w:t>知识产权保护中心、快速维权中心应当依法开展知识产权快速审查、快速确权、快速维权，加强纠纷处理，提供创造、运用、保护等全链条服务。</w:t>
      </w:r>
    </w:p>
    <w:p w14:paraId="660924D8">
      <w:pPr>
        <w:ind w:firstLine="723" w:firstLineChars="200"/>
        <w:jc w:val="left"/>
        <w:rPr>
          <w:rFonts w:ascii="仿宋" w:hAnsi="仿宋" w:eastAsia="仿宋" w:cs="仿宋"/>
          <w:sz w:val="36"/>
          <w:szCs w:val="36"/>
        </w:rPr>
      </w:pPr>
      <w:r>
        <w:rPr>
          <w:rFonts w:hint="eastAsia" w:ascii="仿宋" w:hAnsi="仿宋" w:eastAsia="仿宋" w:cs="仿宋"/>
          <w:b/>
          <w:sz w:val="36"/>
          <w:szCs w:val="36"/>
        </w:rPr>
        <w:t>第二十二条【知识产权鉴定机构】</w:t>
      </w:r>
      <w:r>
        <w:rPr>
          <w:rFonts w:hint="eastAsia" w:ascii="仿宋" w:hAnsi="仿宋" w:eastAsia="仿宋" w:cs="仿宋"/>
          <w:sz w:val="36"/>
          <w:szCs w:val="36"/>
        </w:rPr>
        <w:t>支持培育和引进知识产权鉴定机构。</w:t>
      </w:r>
    </w:p>
    <w:p w14:paraId="0741D5C6">
      <w:pPr>
        <w:ind w:firstLine="720" w:firstLineChars="200"/>
        <w:jc w:val="left"/>
        <w:rPr>
          <w:rFonts w:ascii="仿宋" w:hAnsi="仿宋" w:eastAsia="仿宋" w:cs="仿宋"/>
          <w:sz w:val="36"/>
          <w:szCs w:val="36"/>
        </w:rPr>
      </w:pPr>
      <w:r>
        <w:rPr>
          <w:rFonts w:hint="eastAsia" w:ascii="仿宋" w:hAnsi="仿宋" w:eastAsia="仿宋" w:cs="仿宋"/>
          <w:sz w:val="36"/>
          <w:szCs w:val="36"/>
        </w:rPr>
        <w:t>知识产权鉴定机构以及其他为知识产权技术事实和专业问题提供协助服务的机构，应当恪守独立、客观、公正的职业操守，对其出具的报告负责。</w:t>
      </w:r>
    </w:p>
    <w:p w14:paraId="77592F8A">
      <w:pPr>
        <w:ind w:firstLine="723" w:firstLineChars="200"/>
        <w:jc w:val="left"/>
        <w:rPr>
          <w:rFonts w:ascii="仿宋" w:hAnsi="仿宋" w:eastAsia="仿宋" w:cs="仿宋"/>
          <w:sz w:val="36"/>
          <w:szCs w:val="36"/>
        </w:rPr>
      </w:pPr>
      <w:r>
        <w:rPr>
          <w:rFonts w:hint="eastAsia" w:ascii="仿宋" w:hAnsi="仿宋" w:eastAsia="仿宋" w:cs="仿宋"/>
          <w:b/>
          <w:sz w:val="36"/>
          <w:szCs w:val="36"/>
        </w:rPr>
        <w:t>第二十三条 【技术调查官】</w:t>
      </w:r>
      <w:r>
        <w:rPr>
          <w:rFonts w:hint="eastAsia" w:ascii="仿宋" w:hAnsi="仿宋" w:eastAsia="仿宋" w:cs="仿宋"/>
          <w:sz w:val="36"/>
          <w:szCs w:val="36"/>
        </w:rPr>
        <w:t>负有知识产权管理职责的部门应当建立知识产权技术调查官制度，并与司法机关、仲裁机构建立合作机制。</w:t>
      </w:r>
    </w:p>
    <w:p w14:paraId="466687ED">
      <w:pPr>
        <w:ind w:firstLine="560"/>
        <w:jc w:val="left"/>
        <w:rPr>
          <w:rFonts w:ascii="仿宋" w:hAnsi="仿宋" w:eastAsia="仿宋" w:cs="仿宋"/>
          <w:sz w:val="36"/>
          <w:szCs w:val="36"/>
        </w:rPr>
      </w:pPr>
      <w:r>
        <w:rPr>
          <w:rFonts w:hint="eastAsia" w:ascii="仿宋" w:hAnsi="仿宋" w:eastAsia="仿宋" w:cs="仿宋"/>
          <w:sz w:val="36"/>
          <w:szCs w:val="36"/>
        </w:rPr>
        <w:t>技术调查官受委托参与行政裁决、行政执法、调解、仲裁等活动，对技术事实提出独立意见。</w:t>
      </w:r>
    </w:p>
    <w:p w14:paraId="72364774">
      <w:pPr>
        <w:ind w:firstLine="560"/>
        <w:jc w:val="left"/>
        <w:rPr>
          <w:rFonts w:ascii="仿宋" w:hAnsi="仿宋" w:eastAsia="仿宋" w:cs="仿宋"/>
          <w:sz w:val="36"/>
          <w:szCs w:val="36"/>
        </w:rPr>
      </w:pPr>
      <w:r>
        <w:rPr>
          <w:rFonts w:ascii="仿宋" w:hAnsi="仿宋" w:eastAsia="仿宋" w:cs="仿宋"/>
          <w:b/>
          <w:sz w:val="36"/>
          <w:szCs w:val="36"/>
        </w:rPr>
        <w:t>第二十</w:t>
      </w:r>
      <w:r>
        <w:rPr>
          <w:rFonts w:hint="eastAsia" w:ascii="仿宋" w:hAnsi="仿宋" w:eastAsia="仿宋" w:cs="仿宋"/>
          <w:b/>
          <w:sz w:val="36"/>
          <w:szCs w:val="36"/>
        </w:rPr>
        <w:t>四</w:t>
      </w:r>
      <w:r>
        <w:rPr>
          <w:rFonts w:ascii="仿宋" w:hAnsi="仿宋" w:eastAsia="仿宋" w:cs="仿宋"/>
          <w:b/>
          <w:sz w:val="36"/>
          <w:szCs w:val="36"/>
        </w:rPr>
        <w:t>条【信用监管】</w:t>
      </w:r>
      <w:r>
        <w:rPr>
          <w:rFonts w:ascii="仿宋" w:hAnsi="仿宋" w:eastAsia="仿宋" w:cs="仿宋"/>
          <w:sz w:val="36"/>
          <w:szCs w:val="36"/>
        </w:rPr>
        <w:t>市、县（</w:t>
      </w:r>
      <w:r>
        <w:rPr>
          <w:rFonts w:hint="eastAsia" w:ascii="仿宋" w:hAnsi="仿宋" w:eastAsia="仿宋" w:cs="仿宋"/>
          <w:sz w:val="36"/>
          <w:szCs w:val="36"/>
        </w:rPr>
        <w:t>市</w:t>
      </w:r>
      <w:r>
        <w:rPr>
          <w:rFonts w:ascii="仿宋" w:hAnsi="仿宋" w:eastAsia="仿宋" w:cs="仿宋"/>
          <w:sz w:val="36"/>
          <w:szCs w:val="36"/>
        </w:rPr>
        <w:t>、区）人民政府及其有关部门应当按照规定在知识产权保护和促进工作中开展信用承诺、信用评价、守信激励、失信惩戒和信用修复等工作。</w:t>
      </w:r>
    </w:p>
    <w:p w14:paraId="2519C360">
      <w:pPr>
        <w:ind w:firstLine="560"/>
        <w:jc w:val="left"/>
        <w:rPr>
          <w:rFonts w:ascii="仿宋" w:hAnsi="仿宋" w:eastAsia="仿宋" w:cs="仿宋"/>
          <w:sz w:val="36"/>
          <w:szCs w:val="36"/>
        </w:rPr>
      </w:pPr>
      <w:r>
        <w:rPr>
          <w:rFonts w:ascii="仿宋" w:hAnsi="仿宋" w:eastAsia="仿宋" w:cs="仿宋"/>
          <w:b/>
          <w:sz w:val="36"/>
          <w:szCs w:val="36"/>
        </w:rPr>
        <w:t>第二十</w:t>
      </w:r>
      <w:r>
        <w:rPr>
          <w:rFonts w:hint="eastAsia" w:ascii="仿宋" w:hAnsi="仿宋" w:eastAsia="仿宋" w:cs="仿宋"/>
          <w:b/>
          <w:sz w:val="36"/>
          <w:szCs w:val="36"/>
        </w:rPr>
        <w:t>五</w:t>
      </w:r>
      <w:r>
        <w:rPr>
          <w:rFonts w:ascii="仿宋" w:hAnsi="仿宋" w:eastAsia="仿宋" w:cs="仿宋"/>
          <w:b/>
          <w:sz w:val="36"/>
          <w:szCs w:val="36"/>
        </w:rPr>
        <w:t>条【多元化纠纷解决】</w:t>
      </w:r>
      <w:r>
        <w:rPr>
          <w:rFonts w:ascii="仿宋" w:hAnsi="仿宋" w:eastAsia="仿宋" w:cs="仿宋"/>
          <w:sz w:val="36"/>
          <w:szCs w:val="36"/>
        </w:rPr>
        <w:t>负有知识产权管理职责的部门建立健全知识产权纠纷多元化解决机制，采取自行协商、行政裁决、调解、仲裁、诉讼等多种方式解决知识产权纠纷。</w:t>
      </w:r>
    </w:p>
    <w:p w14:paraId="1F59C473">
      <w:pPr>
        <w:ind w:firstLine="560"/>
        <w:jc w:val="left"/>
        <w:rPr>
          <w:rFonts w:ascii="仿宋" w:hAnsi="仿宋" w:eastAsia="仿宋" w:cs="仿宋"/>
          <w:sz w:val="36"/>
          <w:szCs w:val="36"/>
        </w:rPr>
      </w:pPr>
      <w:r>
        <w:rPr>
          <w:rFonts w:ascii="仿宋" w:hAnsi="仿宋" w:eastAsia="仿宋" w:cs="仿宋"/>
          <w:sz w:val="36"/>
          <w:szCs w:val="36"/>
        </w:rPr>
        <w:t>引导当事人通过人民调解、行政调解、司法调解以及行业性专业性调解等方式化解知识产权纠纷。</w:t>
      </w:r>
    </w:p>
    <w:p w14:paraId="5408EE9D">
      <w:pPr>
        <w:ind w:firstLine="560"/>
        <w:jc w:val="left"/>
        <w:rPr>
          <w:rFonts w:ascii="仿宋" w:hAnsi="仿宋" w:eastAsia="仿宋" w:cs="仿宋"/>
          <w:sz w:val="36"/>
          <w:szCs w:val="36"/>
        </w:rPr>
      </w:pPr>
      <w:r>
        <w:rPr>
          <w:rFonts w:ascii="仿宋" w:hAnsi="仿宋" w:eastAsia="仿宋" w:cs="仿宋"/>
          <w:sz w:val="36"/>
          <w:szCs w:val="36"/>
        </w:rPr>
        <w:t>鼓励当事人运用仲裁方式解决知识产权纠纷。支持仲裁机构开展知识产权仲裁业务，加强知识产权仲裁专业化建设。</w:t>
      </w:r>
    </w:p>
    <w:p w14:paraId="6A546428">
      <w:pPr>
        <w:ind w:firstLine="560"/>
        <w:jc w:val="left"/>
        <w:rPr>
          <w:rFonts w:ascii="仿宋" w:hAnsi="仿宋" w:eastAsia="仿宋" w:cs="仿宋"/>
          <w:sz w:val="36"/>
          <w:szCs w:val="36"/>
        </w:rPr>
      </w:pPr>
      <w:r>
        <w:rPr>
          <w:rFonts w:ascii="仿宋" w:hAnsi="仿宋" w:eastAsia="仿宋" w:cs="仿宋"/>
          <w:sz w:val="36"/>
          <w:szCs w:val="36"/>
        </w:rPr>
        <w:t>支持和鼓励维权援助组织和社会力量依法开展知识产权维权援助公益服务。</w:t>
      </w:r>
    </w:p>
    <w:p w14:paraId="3DEA8118">
      <w:pPr>
        <w:ind w:firstLine="560"/>
        <w:jc w:val="left"/>
        <w:rPr>
          <w:rFonts w:ascii="仿宋" w:hAnsi="仿宋" w:eastAsia="仿宋" w:cs="仿宋"/>
          <w:sz w:val="36"/>
          <w:szCs w:val="36"/>
        </w:rPr>
      </w:pPr>
      <w:r>
        <w:rPr>
          <w:rFonts w:ascii="仿宋" w:hAnsi="仿宋" w:eastAsia="仿宋" w:cs="仿宋"/>
          <w:b/>
          <w:sz w:val="36"/>
          <w:szCs w:val="36"/>
        </w:rPr>
        <w:t>第二十</w:t>
      </w:r>
      <w:r>
        <w:rPr>
          <w:rFonts w:hint="eastAsia" w:ascii="仿宋" w:hAnsi="仿宋" w:eastAsia="仿宋" w:cs="仿宋"/>
          <w:b/>
          <w:sz w:val="36"/>
          <w:szCs w:val="36"/>
        </w:rPr>
        <w:t>六</w:t>
      </w:r>
      <w:r>
        <w:rPr>
          <w:rFonts w:ascii="仿宋" w:hAnsi="仿宋" w:eastAsia="仿宋" w:cs="仿宋"/>
          <w:b/>
          <w:sz w:val="36"/>
          <w:szCs w:val="36"/>
        </w:rPr>
        <w:t>条【跨部门知识产权保护机制】</w:t>
      </w:r>
      <w:r>
        <w:rPr>
          <w:rFonts w:ascii="仿宋" w:hAnsi="仿宋" w:eastAsia="仿宋" w:cs="仿宋"/>
          <w:sz w:val="36"/>
          <w:szCs w:val="36"/>
        </w:rPr>
        <w:t>负有知识产权管理职责的部门应当与人民法院、人民检察院、公安机关建立知识产权行政执法和司法衔接机制，推动行政机关和司法机关共同开展典型案例研讨、违法趋势研判等会商工作，完善案件信息共享、线索通报、案件移送等工作制度。</w:t>
      </w:r>
    </w:p>
    <w:p w14:paraId="36AF9C83">
      <w:pPr>
        <w:widowControl/>
        <w:ind w:firstLine="708" w:firstLineChars="196"/>
        <w:jc w:val="left"/>
        <w:textAlignment w:val="center"/>
        <w:rPr>
          <w:rFonts w:ascii="仿宋" w:hAnsi="仿宋" w:eastAsia="仿宋" w:cs="仿宋"/>
          <w:sz w:val="36"/>
          <w:szCs w:val="36"/>
        </w:rPr>
      </w:pPr>
      <w:r>
        <w:rPr>
          <w:rFonts w:hint="eastAsia" w:ascii="仿宋" w:hAnsi="仿宋" w:eastAsia="仿宋" w:cs="仿宋"/>
          <w:b/>
          <w:sz w:val="36"/>
          <w:szCs w:val="36"/>
        </w:rPr>
        <w:t>第</w:t>
      </w:r>
      <w:r>
        <w:rPr>
          <w:rFonts w:ascii="仿宋" w:hAnsi="仿宋" w:eastAsia="仿宋" w:cs="仿宋"/>
          <w:b/>
          <w:sz w:val="36"/>
          <w:szCs w:val="36"/>
        </w:rPr>
        <w:t>二十</w:t>
      </w:r>
      <w:r>
        <w:rPr>
          <w:rFonts w:hint="eastAsia" w:ascii="仿宋" w:hAnsi="仿宋" w:eastAsia="仿宋" w:cs="仿宋"/>
          <w:b/>
          <w:sz w:val="36"/>
          <w:szCs w:val="36"/>
        </w:rPr>
        <w:t>七条【海外维权】</w:t>
      </w:r>
      <w:r>
        <w:rPr>
          <w:rFonts w:hint="eastAsia" w:ascii="仿宋" w:hAnsi="仿宋" w:eastAsia="仿宋" w:cs="仿宋"/>
          <w:sz w:val="36"/>
          <w:szCs w:val="36"/>
        </w:rPr>
        <w:t>市人民政府应当加强海外知识产权纠纷应对指导工作，建立健全海外知识产权维权援助机制，为处理海外知识产权纠纷提供专家、信息、法律等方面的支持。</w:t>
      </w:r>
    </w:p>
    <w:p w14:paraId="7BED8553">
      <w:pPr>
        <w:ind w:firstLine="560"/>
        <w:jc w:val="left"/>
        <w:rPr>
          <w:rFonts w:ascii="仿宋" w:hAnsi="仿宋" w:eastAsia="仿宋" w:cs="仿宋"/>
          <w:sz w:val="36"/>
          <w:szCs w:val="36"/>
        </w:rPr>
      </w:pPr>
      <w:r>
        <w:rPr>
          <w:rFonts w:hint="eastAsia" w:ascii="仿宋" w:hAnsi="仿宋" w:eastAsia="仿宋" w:cs="仿宋"/>
          <w:sz w:val="36"/>
          <w:szCs w:val="36"/>
        </w:rPr>
        <w:t>鼓励企业、行业协会、商会等建立海外知识产权维权联盟，设立海外维权援助互助基金，提高海外知识产权风险防范和纠纷应对能力。</w:t>
      </w:r>
    </w:p>
    <w:p w14:paraId="105FEE85">
      <w:pPr>
        <w:ind w:firstLine="737" w:firstLineChars="205"/>
        <w:jc w:val="left"/>
        <w:rPr>
          <w:rFonts w:ascii="仿宋" w:hAnsi="仿宋" w:eastAsia="仿宋" w:cs="仿宋"/>
          <w:sz w:val="36"/>
          <w:szCs w:val="36"/>
        </w:rPr>
      </w:pPr>
      <w:r>
        <w:rPr>
          <w:rFonts w:hint="eastAsia" w:ascii="仿宋" w:hAnsi="仿宋" w:eastAsia="仿宋" w:cs="仿宋"/>
          <w:sz w:val="36"/>
          <w:szCs w:val="36"/>
        </w:rPr>
        <w:t>鼓励保险机构开展知识产权海外侵权责任保险、专利执行保险、专利被侵权损失保险险等业务。</w:t>
      </w:r>
    </w:p>
    <w:p w14:paraId="71EE0BD3">
      <w:pPr>
        <w:ind w:firstLine="723" w:firstLineChars="200"/>
        <w:jc w:val="left"/>
        <w:rPr>
          <w:rFonts w:ascii="仿宋" w:hAnsi="仿宋" w:eastAsia="仿宋" w:cs="仿宋"/>
          <w:sz w:val="36"/>
          <w:szCs w:val="36"/>
        </w:rPr>
      </w:pPr>
      <w:r>
        <w:rPr>
          <w:rFonts w:hint="eastAsia" w:ascii="仿宋" w:hAnsi="仿宋" w:eastAsia="仿宋" w:cs="仿宋"/>
          <w:b/>
          <w:sz w:val="36"/>
          <w:szCs w:val="36"/>
        </w:rPr>
        <w:t>第二十八条【社会共治】</w:t>
      </w:r>
      <w:r>
        <w:rPr>
          <w:rFonts w:hint="eastAsia" w:ascii="仿宋" w:hAnsi="仿宋" w:eastAsia="仿宋" w:cs="仿宋"/>
          <w:sz w:val="36"/>
          <w:szCs w:val="36"/>
        </w:rPr>
        <w:t>任何单位或者个人有权向知识产权保护管理部门投诉、举报知识产权侵权违法行为。</w:t>
      </w:r>
    </w:p>
    <w:p w14:paraId="3C7D7D9F">
      <w:pPr>
        <w:ind w:firstLine="720" w:firstLineChars="200"/>
        <w:jc w:val="left"/>
        <w:rPr>
          <w:rFonts w:ascii="仿宋" w:hAnsi="仿宋" w:eastAsia="仿宋" w:cs="仿宋"/>
          <w:sz w:val="36"/>
          <w:szCs w:val="36"/>
        </w:rPr>
      </w:pPr>
      <w:r>
        <w:rPr>
          <w:rFonts w:hint="eastAsia" w:ascii="仿宋" w:hAnsi="仿宋" w:eastAsia="仿宋" w:cs="仿宋"/>
          <w:sz w:val="36"/>
          <w:szCs w:val="36"/>
        </w:rPr>
        <w:t>市场监督管理（知识产权）部门应当健全知识产权侵权违法行为投诉、举报处理机制，对接12345市民服务热线及其网络平台，及时处理投诉、举报线索，并按规定将处理结果反馈投诉人、举报人。</w:t>
      </w:r>
    </w:p>
    <w:p w14:paraId="6276EC91">
      <w:pPr>
        <w:jc w:val="center"/>
        <w:rPr>
          <w:rFonts w:ascii="楷体" w:hAnsi="楷体" w:eastAsia="楷体" w:cs="仿宋"/>
          <w:b/>
          <w:bCs/>
          <w:sz w:val="36"/>
          <w:szCs w:val="36"/>
        </w:rPr>
      </w:pPr>
    </w:p>
    <w:p w14:paraId="01148603">
      <w:pPr>
        <w:jc w:val="center"/>
        <w:rPr>
          <w:rFonts w:ascii="楷体" w:hAnsi="楷体" w:eastAsia="楷体" w:cs="仿宋"/>
          <w:b/>
          <w:bCs/>
          <w:sz w:val="36"/>
          <w:szCs w:val="36"/>
        </w:rPr>
      </w:pPr>
      <w:r>
        <w:rPr>
          <w:rFonts w:hint="eastAsia" w:ascii="楷体" w:hAnsi="楷体" w:eastAsia="楷体" w:cs="仿宋"/>
          <w:b/>
          <w:bCs/>
          <w:sz w:val="36"/>
          <w:szCs w:val="36"/>
        </w:rPr>
        <w:t>第三章  创造与运用</w:t>
      </w:r>
    </w:p>
    <w:p w14:paraId="38DFBA6C">
      <w:pPr>
        <w:spacing w:line="240" w:lineRule="exact"/>
        <w:ind w:firstLine="723" w:firstLineChars="200"/>
        <w:jc w:val="left"/>
        <w:rPr>
          <w:rFonts w:ascii="仿宋" w:hAnsi="仿宋" w:eastAsia="仿宋" w:cs="仿宋"/>
          <w:b/>
          <w:sz w:val="36"/>
          <w:szCs w:val="36"/>
        </w:rPr>
      </w:pPr>
      <w:bookmarkStart w:id="8" w:name="OLE_LINK8"/>
    </w:p>
    <w:p w14:paraId="68FA52BE">
      <w:pPr>
        <w:ind w:firstLine="723" w:firstLineChars="200"/>
        <w:jc w:val="left"/>
        <w:rPr>
          <w:rFonts w:ascii="仿宋" w:hAnsi="仿宋" w:eastAsia="仿宋" w:cs="仿宋"/>
          <w:bCs/>
          <w:sz w:val="36"/>
          <w:szCs w:val="36"/>
        </w:rPr>
      </w:pPr>
      <w:r>
        <w:rPr>
          <w:rFonts w:hint="eastAsia" w:ascii="仿宋" w:hAnsi="仿宋" w:eastAsia="仿宋" w:cs="仿宋"/>
          <w:b/>
          <w:sz w:val="36"/>
          <w:szCs w:val="36"/>
        </w:rPr>
        <w:t>第二十九条【本章总括】</w:t>
      </w:r>
      <w:r>
        <w:rPr>
          <w:rFonts w:hint="eastAsia" w:ascii="仿宋" w:hAnsi="仿宋" w:eastAsia="仿宋" w:cs="仿宋"/>
          <w:bCs/>
          <w:sz w:val="36"/>
          <w:szCs w:val="36"/>
        </w:rPr>
        <w:t>市、县（市、区）人民政府应当综合运用财政、税收、金融、产业、科技、人才等政策措施，推动建立以企业为主体、市场为导向、产学研服金相结合的创新体系，促进知识产权创造和运用。</w:t>
      </w:r>
      <w:bookmarkEnd w:id="8"/>
    </w:p>
    <w:p w14:paraId="1D12762D">
      <w:pPr>
        <w:ind w:firstLine="723" w:firstLineChars="200"/>
        <w:jc w:val="left"/>
        <w:rPr>
          <w:rFonts w:ascii="仿宋" w:hAnsi="仿宋" w:eastAsia="仿宋" w:cs="仿宋"/>
          <w:bCs/>
          <w:sz w:val="36"/>
          <w:szCs w:val="36"/>
        </w:rPr>
      </w:pPr>
      <w:bookmarkStart w:id="9" w:name="OLE_LINK90"/>
      <w:r>
        <w:rPr>
          <w:rFonts w:hint="eastAsia" w:ascii="仿宋" w:hAnsi="仿宋" w:eastAsia="仿宋" w:cs="仿宋"/>
          <w:b/>
          <w:sz w:val="36"/>
          <w:szCs w:val="36"/>
        </w:rPr>
        <w:t>第三十条【高价值专利培育】</w:t>
      </w:r>
      <w:r>
        <w:rPr>
          <w:rFonts w:hint="eastAsia" w:ascii="仿宋" w:hAnsi="仿宋" w:eastAsia="仿宋" w:cs="仿宋"/>
          <w:bCs/>
          <w:sz w:val="36"/>
          <w:szCs w:val="36"/>
        </w:rPr>
        <w:t>市、县（市、区）人民政府应当围绕重点产业和新兴产业，</w:t>
      </w:r>
      <w:r>
        <w:rPr>
          <w:rFonts w:hint="eastAsia" w:ascii="仿宋" w:hAnsi="仿宋" w:eastAsia="仿宋" w:cs="仿宋"/>
          <w:sz w:val="36"/>
          <w:szCs w:val="36"/>
        </w:rPr>
        <w:t>推动高价值专利前瞻性布局，</w:t>
      </w:r>
      <w:r>
        <w:rPr>
          <w:rFonts w:hint="eastAsia" w:ascii="仿宋" w:hAnsi="仿宋" w:eastAsia="仿宋" w:cs="仿宋"/>
          <w:bCs/>
          <w:sz w:val="36"/>
          <w:szCs w:val="36"/>
        </w:rPr>
        <w:t>引导</w:t>
      </w:r>
      <w:r>
        <w:rPr>
          <w:rFonts w:hint="eastAsia" w:ascii="仿宋" w:hAnsi="仿宋" w:eastAsia="仿宋" w:cs="仿宋"/>
          <w:sz w:val="36"/>
          <w:szCs w:val="36"/>
        </w:rPr>
        <w:t>建设产业知识产权运营中心、知识产权与标准协同创新中心、高价值专利培育中心。</w:t>
      </w:r>
      <w:r>
        <w:rPr>
          <w:rFonts w:hint="eastAsia" w:ascii="仿宋" w:hAnsi="仿宋" w:eastAsia="仿宋" w:cs="仿宋"/>
          <w:bCs/>
          <w:sz w:val="36"/>
          <w:szCs w:val="36"/>
        </w:rPr>
        <w:t>发展专利密集型产业。</w:t>
      </w:r>
      <w:bookmarkEnd w:id="9"/>
    </w:p>
    <w:p w14:paraId="465B8F4B">
      <w:pPr>
        <w:ind w:firstLine="723" w:firstLineChars="200"/>
        <w:jc w:val="left"/>
        <w:rPr>
          <w:rFonts w:ascii="仿宋" w:hAnsi="仿宋" w:eastAsia="仿宋" w:cs="仿宋"/>
          <w:bCs/>
          <w:sz w:val="36"/>
          <w:szCs w:val="36"/>
        </w:rPr>
      </w:pPr>
      <w:r>
        <w:rPr>
          <w:rFonts w:hint="eastAsia" w:ascii="仿宋" w:hAnsi="仿宋" w:eastAsia="仿宋" w:cs="仿宋"/>
          <w:b/>
          <w:sz w:val="36"/>
          <w:szCs w:val="36"/>
        </w:rPr>
        <w:t>第三十一条【专利转移转化】</w:t>
      </w:r>
      <w:r>
        <w:rPr>
          <w:rFonts w:hint="eastAsia" w:ascii="仿宋" w:hAnsi="仿宋" w:eastAsia="仿宋" w:cs="仿宋"/>
          <w:bCs/>
          <w:sz w:val="36"/>
          <w:szCs w:val="36"/>
        </w:rPr>
        <w:t>市、县（市、区）人民政府应当通过规划引导、政策支持等措施，推进知识产权的创造和运用，提升产业竞争力。</w:t>
      </w:r>
    </w:p>
    <w:p w14:paraId="5A4DE960">
      <w:pPr>
        <w:ind w:firstLine="720" w:firstLineChars="200"/>
        <w:jc w:val="left"/>
        <w:rPr>
          <w:rFonts w:ascii="仿宋" w:hAnsi="仿宋" w:eastAsia="仿宋" w:cs="仿宋"/>
          <w:bCs/>
          <w:sz w:val="36"/>
          <w:szCs w:val="36"/>
        </w:rPr>
      </w:pPr>
      <w:r>
        <w:rPr>
          <w:rFonts w:hint="eastAsia" w:ascii="仿宋" w:hAnsi="仿宋" w:eastAsia="仿宋" w:cs="仿宋"/>
          <w:bCs/>
          <w:sz w:val="36"/>
          <w:szCs w:val="36"/>
        </w:rPr>
        <w:t>市场监督管理（知识产权）、科技、工业和信息化等部门应当建立健全以专利质量、价值、贡献为导向的产业创新政策和项目实施机制，加强专利转化对接服务，鼓励企业转化实施专利技术，推动高校和科研机构加强专利管理和转化，引导开展专利开放许可。</w:t>
      </w:r>
    </w:p>
    <w:p w14:paraId="5435A2CA">
      <w:pPr>
        <w:ind w:firstLine="723" w:firstLineChars="200"/>
        <w:jc w:val="left"/>
        <w:rPr>
          <w:rFonts w:ascii="仿宋" w:hAnsi="仿宋" w:eastAsia="仿宋" w:cs="仿宋"/>
          <w:bCs/>
          <w:sz w:val="36"/>
          <w:szCs w:val="36"/>
        </w:rPr>
      </w:pPr>
      <w:r>
        <w:rPr>
          <w:rFonts w:hint="eastAsia" w:ascii="仿宋" w:hAnsi="仿宋" w:eastAsia="仿宋" w:cs="仿宋"/>
          <w:b/>
          <w:sz w:val="36"/>
          <w:szCs w:val="36"/>
        </w:rPr>
        <w:t>第三十二条【商标培育】</w:t>
      </w:r>
      <w:r>
        <w:rPr>
          <w:rFonts w:hint="eastAsia" w:ascii="仿宋" w:hAnsi="仿宋" w:eastAsia="仿宋" w:cs="仿宋"/>
          <w:bCs/>
          <w:sz w:val="36"/>
          <w:szCs w:val="36"/>
        </w:rPr>
        <w:t>市、县（市、区）人民政府应当推进商标品牌建设，鼓励商标品牌培育。</w:t>
      </w:r>
    </w:p>
    <w:p w14:paraId="7C73C9DC">
      <w:pPr>
        <w:ind w:firstLine="720" w:firstLineChars="200"/>
        <w:jc w:val="left"/>
        <w:rPr>
          <w:rFonts w:ascii="仿宋" w:hAnsi="仿宋" w:eastAsia="仿宋" w:cs="仿宋"/>
          <w:bCs/>
          <w:sz w:val="36"/>
          <w:szCs w:val="36"/>
        </w:rPr>
      </w:pPr>
      <w:r>
        <w:rPr>
          <w:rFonts w:hint="eastAsia" w:ascii="仿宋" w:hAnsi="仿宋" w:eastAsia="仿宋" w:cs="仿宋"/>
          <w:sz w:val="36"/>
          <w:szCs w:val="36"/>
        </w:rPr>
        <w:t>支持企业制定符合自身发展特点的商标品牌战略，开展商标品牌竞争态势分析，加强商标品牌海外布局和管理，运用商标品牌参与国际竞争，提升商标品牌影响力和竞争力。</w:t>
      </w:r>
    </w:p>
    <w:p w14:paraId="1E374D3B">
      <w:pPr>
        <w:ind w:firstLine="720" w:firstLineChars="200"/>
        <w:jc w:val="left"/>
        <w:rPr>
          <w:rFonts w:ascii="仿宋" w:hAnsi="仿宋" w:eastAsia="仿宋" w:cs="仿宋"/>
          <w:sz w:val="36"/>
          <w:szCs w:val="36"/>
        </w:rPr>
      </w:pPr>
      <w:r>
        <w:rPr>
          <w:rFonts w:hint="eastAsia" w:ascii="仿宋" w:hAnsi="仿宋" w:eastAsia="仿宋" w:cs="仿宋"/>
          <w:sz w:val="36"/>
          <w:szCs w:val="36"/>
        </w:rPr>
        <w:t>鼓励产业集聚区、旅游区、特色镇等发挥商标品牌的引领作用，提升产业、区域形象，打造产业集群品牌和区域品牌。</w:t>
      </w:r>
    </w:p>
    <w:p w14:paraId="4E31338A">
      <w:pPr>
        <w:ind w:firstLine="723" w:firstLineChars="200"/>
        <w:jc w:val="left"/>
        <w:rPr>
          <w:rFonts w:ascii="仿宋" w:hAnsi="仿宋" w:eastAsia="仿宋" w:cs="仿宋"/>
          <w:bCs/>
          <w:sz w:val="36"/>
          <w:szCs w:val="36"/>
        </w:rPr>
      </w:pPr>
      <w:bookmarkStart w:id="10" w:name="OLE_LINK16"/>
      <w:bookmarkStart w:id="11" w:name="OLE_LINK15"/>
      <w:r>
        <w:rPr>
          <w:rFonts w:hint="eastAsia" w:ascii="仿宋" w:hAnsi="仿宋" w:eastAsia="仿宋" w:cs="仿宋"/>
          <w:b/>
          <w:sz w:val="36"/>
          <w:szCs w:val="36"/>
        </w:rPr>
        <w:t>第三十三条【地理标志培育】</w:t>
      </w:r>
      <w:r>
        <w:rPr>
          <w:rFonts w:hint="eastAsia" w:ascii="仿宋" w:hAnsi="仿宋" w:eastAsia="仿宋" w:cs="仿宋"/>
          <w:bCs/>
          <w:sz w:val="36"/>
          <w:szCs w:val="36"/>
        </w:rPr>
        <w:t>市、县（市、区）人民政府应当结合本地资源禀赋，组织开展地理标志资源普查工作，建立优质地理标志培育机制，将本地具有独特品质的初级农产品、加工食品、传统手工艺品等纳入地理标志资源库，组织开展地理标志品牌文化建设与宣传推介活动，支持地理标志产业链延伸和新业态发展。</w:t>
      </w:r>
    </w:p>
    <w:p w14:paraId="1F668305">
      <w:pPr>
        <w:ind w:firstLine="720" w:firstLineChars="200"/>
        <w:jc w:val="left"/>
        <w:rPr>
          <w:rFonts w:ascii="仿宋" w:hAnsi="仿宋" w:eastAsia="仿宋" w:cs="仿宋"/>
          <w:bCs/>
          <w:sz w:val="36"/>
          <w:szCs w:val="36"/>
        </w:rPr>
      </w:pPr>
      <w:r>
        <w:rPr>
          <w:rFonts w:hint="eastAsia" w:ascii="仿宋" w:hAnsi="仿宋" w:eastAsia="仿宋" w:cs="仿宋"/>
          <w:bCs/>
          <w:sz w:val="36"/>
          <w:szCs w:val="36"/>
        </w:rPr>
        <w:t>支持企业与高等院校、科研机构协同推进地理标志产业发展，推动地理标志与历史文化传承、生态文明建设以及乡村振兴有机融合发展。</w:t>
      </w:r>
    </w:p>
    <w:bookmarkEnd w:id="10"/>
    <w:bookmarkEnd w:id="11"/>
    <w:p w14:paraId="4783838B">
      <w:pPr>
        <w:ind w:firstLine="723" w:firstLineChars="200"/>
        <w:jc w:val="left"/>
        <w:rPr>
          <w:rFonts w:ascii="仿宋" w:hAnsi="仿宋" w:eastAsia="仿宋" w:cs="仿宋"/>
          <w:sz w:val="36"/>
          <w:szCs w:val="36"/>
        </w:rPr>
      </w:pPr>
      <w:bookmarkStart w:id="12" w:name="OLE_LINK18"/>
      <w:r>
        <w:rPr>
          <w:rFonts w:hint="eastAsia" w:ascii="仿宋" w:hAnsi="仿宋" w:eastAsia="仿宋" w:cs="仿宋"/>
          <w:b/>
          <w:sz w:val="36"/>
          <w:szCs w:val="36"/>
        </w:rPr>
        <w:t>第三十四条【作品的培育与转化】</w:t>
      </w:r>
      <w:r>
        <w:rPr>
          <w:rFonts w:hint="eastAsia" w:ascii="仿宋" w:hAnsi="仿宋" w:eastAsia="仿宋" w:cs="仿宋"/>
          <w:bCs/>
          <w:sz w:val="36"/>
          <w:szCs w:val="36"/>
        </w:rPr>
        <w:t>市、县（市、区）人民政府应当采取激励措施，鼓励和支持优秀作品的创作、推广、应用和传播，鼓励利用历史文化资源创作具有本地特色的作品，促进适应数字经济形态的著作权创造与运用，引导著作权人依法进行著作权登记，推动文化创意、计算机软件、影视等领域著作权产业转化。</w:t>
      </w:r>
      <w:bookmarkEnd w:id="12"/>
    </w:p>
    <w:p w14:paraId="617EDF04">
      <w:pPr>
        <w:ind w:firstLine="723" w:firstLineChars="200"/>
        <w:jc w:val="left"/>
        <w:rPr>
          <w:rFonts w:ascii="仿宋" w:hAnsi="仿宋" w:eastAsia="仿宋" w:cs="仿宋"/>
          <w:sz w:val="36"/>
          <w:szCs w:val="36"/>
        </w:rPr>
      </w:pPr>
      <w:r>
        <w:rPr>
          <w:rFonts w:hint="eastAsia" w:ascii="仿宋" w:hAnsi="仿宋" w:eastAsia="仿宋" w:cs="仿宋"/>
          <w:b/>
          <w:sz w:val="36"/>
          <w:szCs w:val="36"/>
        </w:rPr>
        <w:t>第三十五条【植物新品种培育】</w:t>
      </w:r>
      <w:r>
        <w:rPr>
          <w:rFonts w:hint="eastAsia" w:ascii="仿宋" w:hAnsi="仿宋" w:eastAsia="仿宋" w:cs="仿宋"/>
          <w:bCs/>
          <w:sz w:val="36"/>
          <w:szCs w:val="36"/>
        </w:rPr>
        <w:t>市、县（市、区）人民政府应当鼓励和支持植物新品种培育和种质资源研发以及育种材料创新，支持育成品种、自育亲本、实质性派生品种和具有特异性状的育种材料等申请植物新品种权，</w:t>
      </w:r>
      <w:r>
        <w:rPr>
          <w:rFonts w:hint="eastAsia" w:ascii="仿宋" w:hAnsi="仿宋" w:eastAsia="仿宋" w:cs="仿宋"/>
          <w:sz w:val="36"/>
          <w:szCs w:val="36"/>
        </w:rPr>
        <w:t>促进植物新品种研发、转化和推广，提升植物新品种创新与保护水平</w:t>
      </w:r>
    </w:p>
    <w:p w14:paraId="6CCE40B8">
      <w:pPr>
        <w:ind w:firstLine="723" w:firstLineChars="200"/>
        <w:jc w:val="left"/>
        <w:rPr>
          <w:rFonts w:ascii="仿宋" w:hAnsi="仿宋" w:eastAsia="仿宋" w:cs="仿宋"/>
          <w:sz w:val="36"/>
          <w:szCs w:val="36"/>
        </w:rPr>
      </w:pPr>
      <w:bookmarkStart w:id="13" w:name="OLE_LINK20"/>
      <w:bookmarkStart w:id="14" w:name="OLE_LINK19"/>
      <w:r>
        <w:rPr>
          <w:rFonts w:hint="eastAsia" w:ascii="仿宋" w:hAnsi="仿宋" w:eastAsia="仿宋" w:cs="仿宋"/>
          <w:b/>
          <w:sz w:val="36"/>
          <w:szCs w:val="36"/>
        </w:rPr>
        <w:t>第三十六条【文化文物知识产权】</w:t>
      </w:r>
      <w:r>
        <w:rPr>
          <w:rFonts w:hint="eastAsia" w:ascii="仿宋" w:hAnsi="仿宋" w:eastAsia="仿宋" w:cs="仿宋"/>
          <w:bCs/>
          <w:sz w:val="36"/>
          <w:szCs w:val="36"/>
        </w:rPr>
        <w:t>文物、文化和旅游、版权等部门应当加强文博、文物等领域知识产权</w:t>
      </w:r>
      <w:r>
        <w:rPr>
          <w:rFonts w:hint="eastAsia" w:ascii="仿宋" w:hAnsi="仿宋" w:eastAsia="仿宋" w:cs="仿宋"/>
          <w:sz w:val="36"/>
          <w:szCs w:val="36"/>
        </w:rPr>
        <w:t>创造、应用和数字化转化，依法开放文化文物资源，通过合作、授权、独立开发等途径开发创意产品，探索文化文物创意产业发展模式。</w:t>
      </w:r>
    </w:p>
    <w:p w14:paraId="470CBEBF">
      <w:pPr>
        <w:ind w:firstLine="720" w:firstLineChars="200"/>
        <w:jc w:val="left"/>
        <w:rPr>
          <w:rFonts w:ascii="仿宋" w:hAnsi="仿宋" w:eastAsia="仿宋" w:cs="仿宋"/>
          <w:bCs/>
          <w:sz w:val="36"/>
          <w:szCs w:val="36"/>
        </w:rPr>
      </w:pPr>
      <w:r>
        <w:rPr>
          <w:rFonts w:hint="eastAsia" w:ascii="仿宋" w:hAnsi="仿宋" w:eastAsia="仿宋" w:cs="仿宋"/>
          <w:sz w:val="36"/>
          <w:szCs w:val="36"/>
        </w:rPr>
        <w:t>鼓励和支持其他单位、个人利用文化文物单位开放的文化文物资源，推动文化文物知识产权在新兴领域、新兴业态的创造和产业发展。</w:t>
      </w:r>
      <w:bookmarkEnd w:id="13"/>
      <w:bookmarkEnd w:id="14"/>
    </w:p>
    <w:p w14:paraId="496D763B">
      <w:pPr>
        <w:ind w:firstLine="723" w:firstLineChars="200"/>
        <w:jc w:val="left"/>
        <w:rPr>
          <w:rFonts w:ascii="仿宋" w:hAnsi="仿宋" w:eastAsia="仿宋" w:cs="仿宋"/>
          <w:bCs/>
          <w:sz w:val="36"/>
          <w:szCs w:val="36"/>
        </w:rPr>
      </w:pPr>
      <w:bookmarkStart w:id="15" w:name="OLE_LINK24"/>
      <w:bookmarkStart w:id="16" w:name="OLE_LINK23"/>
      <w:r>
        <w:rPr>
          <w:rFonts w:hint="eastAsia" w:ascii="仿宋" w:hAnsi="仿宋" w:eastAsia="仿宋" w:cs="仿宋"/>
          <w:b/>
          <w:sz w:val="36"/>
          <w:szCs w:val="36"/>
        </w:rPr>
        <w:t>第三十七条【其他领域知识产权】</w:t>
      </w:r>
      <w:r>
        <w:rPr>
          <w:rFonts w:hint="eastAsia" w:ascii="仿宋" w:hAnsi="仿宋" w:eastAsia="仿宋" w:cs="仿宋"/>
          <w:bCs/>
          <w:sz w:val="36"/>
          <w:szCs w:val="36"/>
        </w:rPr>
        <w:t>鼓励和支持社会组织、企业事业单位和个人加强传统技艺、中医药、老字号、非物质文化遗产、民间文学艺术等知识产权创造、保护和运用，引导相关主体通过著作权登记、商标注册、专利申请、商业秘密保护等方式实现传承与创新发展。</w:t>
      </w:r>
      <w:bookmarkEnd w:id="15"/>
      <w:bookmarkEnd w:id="16"/>
    </w:p>
    <w:p w14:paraId="53969C62">
      <w:pPr>
        <w:ind w:firstLine="723" w:firstLineChars="200"/>
        <w:jc w:val="left"/>
        <w:rPr>
          <w:rFonts w:ascii="仿宋" w:hAnsi="仿宋" w:eastAsia="仿宋" w:cs="仿宋"/>
          <w:bCs/>
          <w:sz w:val="36"/>
          <w:szCs w:val="36"/>
        </w:rPr>
      </w:pPr>
      <w:bookmarkStart w:id="17" w:name="OLE_LINK26"/>
      <w:bookmarkStart w:id="18" w:name="OLE_LINK25"/>
      <w:r>
        <w:rPr>
          <w:rFonts w:hint="eastAsia" w:ascii="仿宋" w:hAnsi="仿宋" w:eastAsia="仿宋" w:cs="仿宋"/>
          <w:b/>
          <w:sz w:val="36"/>
          <w:szCs w:val="36"/>
        </w:rPr>
        <w:t>第三十八条【职务成果转化】</w:t>
      </w:r>
      <w:r>
        <w:rPr>
          <w:rFonts w:hint="eastAsia" w:ascii="仿宋" w:hAnsi="仿宋" w:eastAsia="仿宋" w:cs="仿宋"/>
          <w:bCs/>
          <w:sz w:val="36"/>
          <w:szCs w:val="36"/>
        </w:rPr>
        <w:t>鼓励国有企业、高等院校、科研机构、医疗卫生机构等单位建立健全职务科技成果转化收益分配、知识产权转移转化管理机制，实行产权激励，促进知识产权转化运用。</w:t>
      </w:r>
    </w:p>
    <w:p w14:paraId="341ABAAF">
      <w:pPr>
        <w:ind w:firstLine="720" w:firstLineChars="200"/>
        <w:jc w:val="left"/>
        <w:rPr>
          <w:rFonts w:ascii="仿宋" w:hAnsi="仿宋" w:eastAsia="仿宋" w:cs="仿宋"/>
          <w:bCs/>
          <w:sz w:val="36"/>
          <w:szCs w:val="36"/>
        </w:rPr>
      </w:pPr>
      <w:r>
        <w:rPr>
          <w:rFonts w:hint="eastAsia" w:ascii="仿宋" w:hAnsi="仿宋" w:eastAsia="仿宋" w:cs="仿宋"/>
          <w:bCs/>
          <w:sz w:val="36"/>
          <w:szCs w:val="36"/>
        </w:rPr>
        <w:t>利用财政性资金形成的知识产权应当积极推动转化运用，合理期限内没有实施且无正当理由的，可以通过开放许可等方式实施。</w:t>
      </w:r>
      <w:bookmarkEnd w:id="17"/>
      <w:bookmarkEnd w:id="18"/>
    </w:p>
    <w:p w14:paraId="34AC4FDF">
      <w:pPr>
        <w:ind w:firstLine="723" w:firstLineChars="200"/>
        <w:jc w:val="left"/>
        <w:rPr>
          <w:rFonts w:ascii="仿宋" w:hAnsi="仿宋" w:eastAsia="仿宋" w:cs="仿宋"/>
          <w:bCs/>
          <w:sz w:val="36"/>
          <w:szCs w:val="36"/>
        </w:rPr>
      </w:pPr>
      <w:bookmarkStart w:id="19" w:name="OLE_LINK27"/>
      <w:bookmarkStart w:id="20" w:name="OLE_LINK28"/>
      <w:r>
        <w:rPr>
          <w:rFonts w:hint="eastAsia" w:ascii="仿宋" w:hAnsi="仿宋" w:eastAsia="仿宋" w:cs="仿宋"/>
          <w:b/>
          <w:sz w:val="36"/>
          <w:szCs w:val="36"/>
        </w:rPr>
        <w:t>第三十九条【知识产权产业联盟】</w:t>
      </w:r>
      <w:r>
        <w:rPr>
          <w:rFonts w:hint="eastAsia" w:ascii="仿宋" w:hAnsi="仿宋" w:eastAsia="仿宋" w:cs="仿宋"/>
          <w:bCs/>
          <w:sz w:val="36"/>
          <w:szCs w:val="36"/>
        </w:rPr>
        <w:t>市、县（市、区）人民政府采取措施推动高等院校、科研机构与企业、知识产权服务机构等建立产业知识产权联盟，建设运营重点产业专利池，开展知识产权资源共享、协作运用，推动知识产权与产业深度融合发展。</w:t>
      </w:r>
    </w:p>
    <w:p w14:paraId="6EAEB311">
      <w:pPr>
        <w:ind w:firstLine="720" w:firstLineChars="200"/>
        <w:jc w:val="left"/>
        <w:rPr>
          <w:rFonts w:ascii="仿宋" w:hAnsi="仿宋" w:eastAsia="仿宋" w:cs="仿宋"/>
          <w:bCs/>
          <w:sz w:val="36"/>
          <w:szCs w:val="36"/>
        </w:rPr>
      </w:pPr>
      <w:r>
        <w:rPr>
          <w:rFonts w:hint="eastAsia" w:ascii="仿宋" w:hAnsi="仿宋" w:eastAsia="仿宋" w:cs="仿宋"/>
          <w:bCs/>
          <w:sz w:val="36"/>
          <w:szCs w:val="36"/>
        </w:rPr>
        <w:t>鼓励高等院校、科研机构、企业合作建立技术研发中心、产业研究院、中试验证平台、概念验证平台、产业知识产权创新联合体等协同创新载体，聚焦煤炭、焦化、钢铁、电力等传统产业，促进新材料、高端装备制造、新一代信息技术及半导体、新能源等优势产业，加强生物医药、低空经济、商业航天等潜力产业，探索量子科技、人工智能、未来能源等新型产业，开展关键技术攻关与集成创新。</w:t>
      </w:r>
      <w:bookmarkEnd w:id="19"/>
      <w:bookmarkEnd w:id="20"/>
    </w:p>
    <w:p w14:paraId="19FECECE">
      <w:pPr>
        <w:ind w:firstLine="723" w:firstLineChars="200"/>
        <w:jc w:val="left"/>
        <w:rPr>
          <w:rFonts w:ascii="仿宋" w:hAnsi="仿宋" w:eastAsia="仿宋" w:cs="仿宋"/>
          <w:bCs/>
          <w:sz w:val="36"/>
          <w:szCs w:val="36"/>
        </w:rPr>
      </w:pPr>
      <w:bookmarkStart w:id="21" w:name="OLE_LINK29"/>
      <w:bookmarkStart w:id="22" w:name="OLE_LINK30"/>
      <w:r>
        <w:rPr>
          <w:rFonts w:hint="eastAsia" w:ascii="仿宋" w:hAnsi="仿宋" w:eastAsia="仿宋" w:cs="仿宋"/>
          <w:b/>
          <w:sz w:val="36"/>
          <w:szCs w:val="36"/>
        </w:rPr>
        <w:t>第四十条【知识产权金融】</w:t>
      </w:r>
      <w:r>
        <w:rPr>
          <w:rFonts w:hint="eastAsia" w:ascii="仿宋" w:hAnsi="仿宋" w:eastAsia="仿宋" w:cs="仿宋"/>
          <w:bCs/>
          <w:sz w:val="36"/>
          <w:szCs w:val="36"/>
        </w:rPr>
        <w:t>市人民政府应当建立知识产权金融创新工作机制，设立知识产权投资基金和知识产权质押融资风险补偿基金，构建以政府资金引导、社会资本参与、市场化运作的知识产权投融资体系。</w:t>
      </w:r>
    </w:p>
    <w:bookmarkEnd w:id="21"/>
    <w:bookmarkEnd w:id="22"/>
    <w:p w14:paraId="28F7D2EA">
      <w:pPr>
        <w:ind w:firstLine="720" w:firstLineChars="200"/>
        <w:jc w:val="left"/>
        <w:rPr>
          <w:rFonts w:ascii="仿宋" w:hAnsi="仿宋" w:eastAsia="仿宋" w:cs="仿宋"/>
          <w:bCs/>
          <w:sz w:val="36"/>
          <w:szCs w:val="36"/>
        </w:rPr>
      </w:pPr>
      <w:r>
        <w:rPr>
          <w:rFonts w:hint="eastAsia" w:ascii="仿宋" w:hAnsi="仿宋" w:eastAsia="仿宋" w:cs="仿宋"/>
          <w:sz w:val="36"/>
          <w:szCs w:val="36"/>
        </w:rPr>
        <w:t>鼓励和支持金融机构创新知识产权金融服务模式，提供知识产权质押融资、保险、风险投资、证券化、信托等金融服务，健全知识产权价值评估体系、融资风险分担和补偿机制，</w:t>
      </w:r>
      <w:r>
        <w:rPr>
          <w:rFonts w:hint="eastAsia" w:ascii="仿宋" w:hAnsi="仿宋" w:eastAsia="仿宋" w:cs="仿宋"/>
          <w:bCs/>
          <w:sz w:val="36"/>
          <w:szCs w:val="36"/>
        </w:rPr>
        <w:t>推进知识产权金融生态建设。</w:t>
      </w:r>
    </w:p>
    <w:p w14:paraId="4CB9FF83">
      <w:pPr>
        <w:jc w:val="center"/>
        <w:rPr>
          <w:rFonts w:ascii="楷体" w:hAnsi="楷体" w:eastAsia="楷体" w:cs="仿宋"/>
          <w:b/>
          <w:bCs/>
          <w:sz w:val="36"/>
          <w:szCs w:val="36"/>
        </w:rPr>
      </w:pPr>
    </w:p>
    <w:p w14:paraId="5ECEB431">
      <w:pPr>
        <w:jc w:val="center"/>
        <w:rPr>
          <w:rFonts w:ascii="仿宋" w:hAnsi="仿宋" w:eastAsia="仿宋" w:cs="仿宋"/>
          <w:b/>
          <w:bCs/>
          <w:kern w:val="0"/>
          <w:sz w:val="36"/>
          <w:szCs w:val="36"/>
        </w:rPr>
      </w:pPr>
      <w:r>
        <w:rPr>
          <w:rFonts w:hint="eastAsia" w:ascii="楷体" w:hAnsi="楷体" w:eastAsia="楷体" w:cs="仿宋"/>
          <w:b/>
          <w:bCs/>
          <w:sz w:val="36"/>
          <w:szCs w:val="36"/>
        </w:rPr>
        <w:t>第四章 服务与管理</w:t>
      </w:r>
      <w:r>
        <w:rPr>
          <w:rFonts w:hint="eastAsia" w:ascii="仿宋" w:hAnsi="仿宋" w:eastAsia="仿宋" w:cs="仿宋"/>
          <w:b/>
          <w:bCs/>
          <w:kern w:val="0"/>
          <w:sz w:val="36"/>
          <w:szCs w:val="36"/>
        </w:rPr>
        <w:t xml:space="preserve">   </w:t>
      </w:r>
    </w:p>
    <w:p w14:paraId="63FA13BC">
      <w:pPr>
        <w:spacing w:line="240" w:lineRule="exact"/>
        <w:ind w:firstLine="723" w:firstLineChars="200"/>
        <w:jc w:val="left"/>
        <w:rPr>
          <w:rFonts w:ascii="仿宋" w:hAnsi="仿宋" w:eastAsia="仿宋" w:cs="仿宋"/>
          <w:b/>
          <w:sz w:val="36"/>
          <w:szCs w:val="36"/>
        </w:rPr>
      </w:pPr>
      <w:bookmarkStart w:id="23" w:name="OLE_LINK56"/>
    </w:p>
    <w:p w14:paraId="5BCCDC1F">
      <w:pPr>
        <w:ind w:firstLine="723" w:firstLineChars="200"/>
        <w:jc w:val="left"/>
        <w:rPr>
          <w:rFonts w:ascii="仿宋" w:hAnsi="仿宋" w:eastAsia="仿宋" w:cs="仿宋"/>
          <w:sz w:val="36"/>
          <w:szCs w:val="36"/>
        </w:rPr>
      </w:pPr>
      <w:r>
        <w:rPr>
          <w:rFonts w:hint="eastAsia" w:ascii="仿宋" w:hAnsi="仿宋" w:eastAsia="仿宋" w:cs="仿宋"/>
          <w:b/>
          <w:sz w:val="36"/>
          <w:szCs w:val="36"/>
        </w:rPr>
        <w:t>第四十一条</w:t>
      </w:r>
      <w:r>
        <w:rPr>
          <w:rFonts w:ascii="仿宋" w:hAnsi="仿宋" w:eastAsia="仿宋" w:cs="仿宋"/>
          <w:b/>
          <w:sz w:val="36"/>
          <w:szCs w:val="36"/>
        </w:rPr>
        <w:t xml:space="preserve"> </w:t>
      </w:r>
      <w:r>
        <w:rPr>
          <w:rFonts w:hint="eastAsia" w:ascii="仿宋" w:hAnsi="仿宋" w:eastAsia="仿宋" w:cs="仿宋"/>
          <w:b/>
          <w:sz w:val="36"/>
          <w:szCs w:val="36"/>
        </w:rPr>
        <w:t>【公共服务体系】</w:t>
      </w:r>
      <w:r>
        <w:rPr>
          <w:rFonts w:hint="eastAsia" w:ascii="仿宋" w:hAnsi="仿宋" w:eastAsia="仿宋" w:cs="仿宋"/>
          <w:sz w:val="36"/>
          <w:szCs w:val="36"/>
        </w:rPr>
        <w:t>市、县（市、区）人民政府应当健全完善知识产权公共服务体系，推进知识产权公共服务标准化、规范化、便利化和数字化，推动知识产权公共服务与市场化服务协调发展。</w:t>
      </w:r>
    </w:p>
    <w:p w14:paraId="0AD528AE">
      <w:pPr>
        <w:ind w:firstLine="720" w:firstLineChars="200"/>
        <w:jc w:val="left"/>
        <w:rPr>
          <w:rFonts w:ascii="仿宋" w:hAnsi="仿宋" w:eastAsia="仿宋" w:cs="仿宋"/>
          <w:sz w:val="36"/>
          <w:szCs w:val="36"/>
        </w:rPr>
      </w:pPr>
      <w:r>
        <w:rPr>
          <w:rFonts w:ascii="仿宋" w:hAnsi="仿宋" w:eastAsia="仿宋" w:cs="仿宋"/>
          <w:sz w:val="36"/>
          <w:szCs w:val="36"/>
        </w:rPr>
        <w:t>负有知识产权管理职责的部门应当组织制定实施综合性知识产权公共服务机构工作指引和公共服务清单、标准、流程，并向社会公布，提升公共服务质量。</w:t>
      </w:r>
    </w:p>
    <w:p w14:paraId="3E502E60">
      <w:pPr>
        <w:ind w:firstLine="723" w:firstLineChars="200"/>
        <w:jc w:val="left"/>
        <w:rPr>
          <w:rFonts w:ascii="仿宋" w:hAnsi="仿宋" w:eastAsia="仿宋" w:cs="仿宋"/>
          <w:sz w:val="36"/>
          <w:szCs w:val="36"/>
        </w:rPr>
      </w:pPr>
      <w:bookmarkStart w:id="24" w:name="OLE_LINK59"/>
      <w:r>
        <w:rPr>
          <w:rFonts w:hint="eastAsia" w:ascii="仿宋" w:hAnsi="仿宋" w:eastAsia="仿宋" w:cs="仿宋"/>
          <w:b/>
          <w:sz w:val="36"/>
          <w:szCs w:val="36"/>
        </w:rPr>
        <w:t>第四十二条【知识产权服务业】</w:t>
      </w:r>
      <w:r>
        <w:rPr>
          <w:rFonts w:hint="eastAsia" w:ascii="仿宋" w:hAnsi="仿宋" w:eastAsia="仿宋" w:cs="仿宋"/>
          <w:sz w:val="36"/>
          <w:szCs w:val="36"/>
        </w:rPr>
        <w:t>市、县（市、区）人民政府应当支持知识产权服务业集聚区建设，引进优质服务机构，加强知识产权运营服务平台推广应用，逐步实现与行业、产业信息服务平台互联互通，开展知识产权权利登记、交易撮合、评估评价、运营转化、金融服务等一体化服务工作。</w:t>
      </w:r>
    </w:p>
    <w:bookmarkEnd w:id="24"/>
    <w:p w14:paraId="32B3B0A3">
      <w:pPr>
        <w:ind w:firstLine="723" w:firstLineChars="200"/>
        <w:jc w:val="left"/>
        <w:rPr>
          <w:rFonts w:ascii="仿宋" w:hAnsi="仿宋" w:eastAsia="仿宋" w:cs="仿宋"/>
          <w:sz w:val="36"/>
          <w:szCs w:val="36"/>
        </w:rPr>
      </w:pPr>
      <w:bookmarkStart w:id="25" w:name="OLE_LINK60"/>
      <w:r>
        <w:rPr>
          <w:rFonts w:hint="eastAsia" w:ascii="仿宋" w:hAnsi="仿宋" w:eastAsia="仿宋" w:cs="仿宋"/>
          <w:b/>
          <w:sz w:val="36"/>
          <w:szCs w:val="36"/>
        </w:rPr>
        <w:t>第四十三条【知识产权服务机构】</w:t>
      </w:r>
      <w:r>
        <w:rPr>
          <w:rFonts w:hint="eastAsia" w:ascii="仿宋" w:hAnsi="仿宋" w:eastAsia="仿宋" w:cs="仿宋"/>
          <w:sz w:val="36"/>
          <w:szCs w:val="36"/>
        </w:rPr>
        <w:t>负有知识产权管理职责的部门应当加强对知识产权服务机构的培育、指导和监管，依法规范其执业行为。</w:t>
      </w:r>
    </w:p>
    <w:p w14:paraId="5D476571">
      <w:pPr>
        <w:ind w:firstLine="720" w:firstLineChars="200"/>
        <w:jc w:val="left"/>
        <w:rPr>
          <w:rFonts w:ascii="仿宋" w:hAnsi="仿宋" w:eastAsia="仿宋" w:cs="仿宋"/>
          <w:sz w:val="36"/>
          <w:szCs w:val="36"/>
        </w:rPr>
      </w:pPr>
      <w:r>
        <w:rPr>
          <w:rFonts w:hint="eastAsia" w:ascii="仿宋" w:hAnsi="仿宋" w:eastAsia="仿宋" w:cs="仿宋"/>
          <w:sz w:val="36"/>
          <w:szCs w:val="36"/>
        </w:rPr>
        <w:t>知识产权服务机构应当依法开展知识产权代理、运营、评估、法律等服务活动，诚实守信，维护委托人的合法权益。</w:t>
      </w:r>
    </w:p>
    <w:p w14:paraId="79F46F51">
      <w:pPr>
        <w:ind w:firstLine="720" w:firstLineChars="200"/>
        <w:jc w:val="left"/>
        <w:rPr>
          <w:rFonts w:ascii="仿宋" w:hAnsi="仿宋" w:eastAsia="仿宋" w:cs="仿宋"/>
          <w:sz w:val="36"/>
          <w:szCs w:val="36"/>
        </w:rPr>
      </w:pPr>
      <w:r>
        <w:rPr>
          <w:rFonts w:hint="eastAsia" w:ascii="仿宋" w:hAnsi="仿宋" w:eastAsia="仿宋" w:cs="仿宋"/>
          <w:sz w:val="36"/>
          <w:szCs w:val="36"/>
        </w:rPr>
        <w:t>鼓励公证机构、法律服务机构和知识产权服务机构创新服务方式，优化业务流程，运用电子签名、数据加密、区块链等技术获取、固定知识产权证据，为知识产权维权保护提供专业化服务。</w:t>
      </w:r>
      <w:bookmarkEnd w:id="25"/>
    </w:p>
    <w:p w14:paraId="1E84D9D7">
      <w:pPr>
        <w:ind w:firstLine="723" w:firstLineChars="200"/>
        <w:jc w:val="left"/>
        <w:rPr>
          <w:rFonts w:ascii="仿宋" w:hAnsi="仿宋" w:eastAsia="仿宋" w:cs="仿宋"/>
          <w:sz w:val="36"/>
          <w:szCs w:val="36"/>
        </w:rPr>
      </w:pPr>
      <w:bookmarkStart w:id="26" w:name="OLE_LINK61"/>
      <w:bookmarkStart w:id="27" w:name="OLE_LINK62"/>
      <w:r>
        <w:rPr>
          <w:rFonts w:hint="eastAsia" w:ascii="仿宋" w:hAnsi="仿宋" w:eastAsia="仿宋" w:cs="仿宋"/>
          <w:b/>
          <w:sz w:val="36"/>
          <w:szCs w:val="36"/>
        </w:rPr>
        <w:t>第四十四条【专利导航服务】</w:t>
      </w:r>
      <w:r>
        <w:rPr>
          <w:rFonts w:hint="eastAsia" w:ascii="仿宋" w:hAnsi="仿宋" w:eastAsia="仿宋" w:cs="仿宋"/>
          <w:sz w:val="36"/>
          <w:szCs w:val="36"/>
        </w:rPr>
        <w:t>市场监督管理（知识产权）部门应当会同发展和改革、科技、工业和信息化、外来投资等部门建立健全专利导航服务体系与专利导航决策机制，支持专利导航服务基地建设。围绕区域重点产业，实施专利导航项目，为政府宏观决策、产业规划、招商引资、人才引进等活动提供指引。</w:t>
      </w:r>
    </w:p>
    <w:p w14:paraId="35F6D9C5">
      <w:pPr>
        <w:ind w:firstLine="720" w:firstLineChars="200"/>
        <w:jc w:val="left"/>
        <w:rPr>
          <w:rFonts w:ascii="仿宋" w:hAnsi="仿宋" w:eastAsia="仿宋" w:cs="仿宋"/>
          <w:sz w:val="36"/>
          <w:szCs w:val="36"/>
        </w:rPr>
      </w:pPr>
      <w:r>
        <w:rPr>
          <w:rFonts w:hint="eastAsia" w:ascii="仿宋" w:hAnsi="仿宋" w:eastAsia="仿宋" w:cs="仿宋"/>
          <w:sz w:val="36"/>
          <w:szCs w:val="36"/>
        </w:rPr>
        <w:t>鼓励和支持市场主体、高等院校、科研机构、行业组织等单位开展专利导航，在企业运营、研发活动、人才遴选等方面</w:t>
      </w:r>
      <w:r>
        <w:rPr>
          <w:rFonts w:hint="eastAsia" w:ascii="仿宋" w:hAnsi="仿宋" w:eastAsia="仿宋" w:cs="仿宋"/>
          <w:color w:val="FF0000"/>
          <w:sz w:val="36"/>
          <w:szCs w:val="36"/>
        </w:rPr>
        <w:t>应</w:t>
      </w:r>
      <w:r>
        <w:rPr>
          <w:rFonts w:hint="eastAsia" w:ascii="仿宋" w:hAnsi="仿宋" w:eastAsia="仿宋" w:cs="仿宋"/>
          <w:sz w:val="36"/>
          <w:szCs w:val="36"/>
        </w:rPr>
        <w:t>用专利导航成果。</w:t>
      </w:r>
    </w:p>
    <w:bookmarkEnd w:id="26"/>
    <w:bookmarkEnd w:id="27"/>
    <w:p w14:paraId="3CC8E07D">
      <w:pPr>
        <w:ind w:firstLine="723" w:firstLineChars="200"/>
        <w:jc w:val="left"/>
        <w:rPr>
          <w:rFonts w:ascii="仿宋" w:hAnsi="仿宋" w:eastAsia="仿宋" w:cs="仿宋"/>
          <w:sz w:val="36"/>
          <w:szCs w:val="36"/>
        </w:rPr>
      </w:pPr>
      <w:bookmarkStart w:id="28" w:name="OLE_LINK63"/>
      <w:r>
        <w:rPr>
          <w:rFonts w:hint="eastAsia" w:ascii="仿宋" w:hAnsi="仿宋" w:eastAsia="仿宋" w:cs="仿宋"/>
          <w:b/>
          <w:sz w:val="36"/>
          <w:szCs w:val="36"/>
        </w:rPr>
        <w:t>第四十五条【知识产权评议】</w:t>
      </w:r>
      <w:r>
        <w:rPr>
          <w:rFonts w:hint="eastAsia" w:ascii="仿宋" w:hAnsi="仿宋" w:eastAsia="仿宋" w:cs="仿宋"/>
          <w:sz w:val="36"/>
          <w:szCs w:val="36"/>
        </w:rPr>
        <w:t>市、县（市、区）人民政府应当对财政资金投入数额较大以及对经济社会发展和公共利益具有较大影响的重大经济活动，组织开展知识产权分析评议，防范知识产权风险。</w:t>
      </w:r>
    </w:p>
    <w:p w14:paraId="1937A727">
      <w:pPr>
        <w:ind w:firstLine="720" w:firstLineChars="200"/>
        <w:jc w:val="left"/>
        <w:rPr>
          <w:rFonts w:ascii="仿宋" w:hAnsi="仿宋" w:eastAsia="仿宋" w:cs="仿宋"/>
          <w:sz w:val="36"/>
          <w:szCs w:val="36"/>
        </w:rPr>
      </w:pPr>
      <w:r>
        <w:rPr>
          <w:rFonts w:hint="eastAsia" w:ascii="仿宋" w:hAnsi="仿宋" w:eastAsia="仿宋" w:cs="仿宋"/>
          <w:sz w:val="36"/>
          <w:szCs w:val="36"/>
        </w:rPr>
        <w:t>市场监督管理（知识产权）部门负责指导、协调知识产权评议工作。</w:t>
      </w:r>
    </w:p>
    <w:bookmarkEnd w:id="28"/>
    <w:p w14:paraId="14DCAA4B">
      <w:pPr>
        <w:ind w:firstLine="723" w:firstLineChars="200"/>
        <w:jc w:val="left"/>
        <w:rPr>
          <w:rFonts w:ascii="仿宋" w:hAnsi="仿宋" w:eastAsia="仿宋" w:cs="仿宋"/>
          <w:sz w:val="36"/>
          <w:szCs w:val="36"/>
        </w:rPr>
      </w:pPr>
      <w:r>
        <w:rPr>
          <w:rFonts w:hint="eastAsia" w:ascii="仿宋" w:hAnsi="仿宋" w:eastAsia="仿宋" w:cs="仿宋"/>
          <w:b/>
          <w:sz w:val="36"/>
          <w:szCs w:val="36"/>
        </w:rPr>
        <w:t>第四十六条【专家咨询委员会】</w:t>
      </w:r>
      <w:r>
        <w:rPr>
          <w:rFonts w:hint="eastAsia" w:ascii="仿宋" w:hAnsi="仿宋" w:eastAsia="仿宋" w:cs="仿宋"/>
          <w:sz w:val="36"/>
          <w:szCs w:val="36"/>
        </w:rPr>
        <w:t>市场监督管理（知识产权）部门应当建立知识产权专家咨询委员会和专家库，为知识产权保护和促进工作提供咨询、论证、评议等服务。</w:t>
      </w:r>
    </w:p>
    <w:p w14:paraId="5F46253D">
      <w:pPr>
        <w:ind w:firstLine="723" w:firstLineChars="200"/>
        <w:jc w:val="left"/>
        <w:rPr>
          <w:rFonts w:ascii="仿宋" w:hAnsi="仿宋" w:eastAsia="仿宋" w:cs="仿宋"/>
          <w:sz w:val="36"/>
          <w:szCs w:val="36"/>
        </w:rPr>
      </w:pPr>
      <w:bookmarkStart w:id="29" w:name="OLE_LINK66"/>
      <w:r>
        <w:rPr>
          <w:rFonts w:hint="eastAsia" w:ascii="仿宋" w:hAnsi="仿宋" w:eastAsia="仿宋" w:cs="仿宋"/>
          <w:b/>
          <w:sz w:val="36"/>
          <w:szCs w:val="36"/>
        </w:rPr>
        <w:t>第四十七条【知识产权特派员】</w:t>
      </w:r>
      <w:r>
        <w:rPr>
          <w:rFonts w:hint="eastAsia" w:ascii="仿宋" w:hAnsi="仿宋" w:eastAsia="仿宋" w:cs="仿宋"/>
          <w:sz w:val="36"/>
          <w:szCs w:val="36"/>
        </w:rPr>
        <w:t>市场监督管理（知识产权）部门建立知识产权特派员制度，为企业、高等院校、科研机构等创新主体提供知识产权政策宣讲、纠纷应对、创新指导等公益服务。</w:t>
      </w:r>
      <w:bookmarkEnd w:id="29"/>
    </w:p>
    <w:p w14:paraId="272BA58D">
      <w:pPr>
        <w:ind w:firstLine="723" w:firstLineChars="200"/>
        <w:jc w:val="left"/>
        <w:rPr>
          <w:rFonts w:ascii="仿宋" w:hAnsi="仿宋" w:eastAsia="仿宋" w:cs="仿宋"/>
          <w:sz w:val="36"/>
          <w:szCs w:val="36"/>
        </w:rPr>
      </w:pPr>
      <w:bookmarkStart w:id="30" w:name="OLE_LINK67"/>
      <w:r>
        <w:rPr>
          <w:rFonts w:hint="eastAsia" w:ascii="仿宋" w:hAnsi="仿宋" w:eastAsia="仿宋" w:cs="仿宋"/>
          <w:b/>
          <w:sz w:val="36"/>
          <w:szCs w:val="36"/>
        </w:rPr>
        <w:t>第四十八条【知识产权人才培养】</w:t>
      </w:r>
      <w:r>
        <w:rPr>
          <w:rFonts w:hint="eastAsia" w:ascii="仿宋" w:hAnsi="仿宋" w:eastAsia="仿宋" w:cs="仿宋"/>
          <w:sz w:val="36"/>
          <w:szCs w:val="36"/>
        </w:rPr>
        <w:t>市、县（市、区）人民政府应当建立知识产权人才培养、引进和评价激励机制，制定并组织实施知识产权高层次人才、急需紧缺人才引进、培养计划。</w:t>
      </w:r>
    </w:p>
    <w:p w14:paraId="689CCA25">
      <w:pPr>
        <w:ind w:firstLine="720" w:firstLineChars="200"/>
        <w:jc w:val="left"/>
        <w:rPr>
          <w:rFonts w:ascii="仿宋" w:hAnsi="仿宋" w:eastAsia="仿宋" w:cs="仿宋"/>
          <w:sz w:val="36"/>
          <w:szCs w:val="36"/>
        </w:rPr>
      </w:pPr>
      <w:r>
        <w:rPr>
          <w:rFonts w:hint="eastAsia" w:ascii="仿宋" w:hAnsi="仿宋" w:eastAsia="仿宋" w:cs="仿宋"/>
          <w:sz w:val="36"/>
          <w:szCs w:val="36"/>
        </w:rPr>
        <w:t>负有知识产权管理职责的部门应当开展知识产权人才教育培训，将知识产权保护纳入国家机关工作人员、国有企业负责人等教育培训内容。</w:t>
      </w:r>
    </w:p>
    <w:p w14:paraId="5ED0D88B">
      <w:pPr>
        <w:ind w:firstLine="720" w:firstLineChars="200"/>
        <w:jc w:val="left"/>
        <w:rPr>
          <w:rFonts w:ascii="仿宋" w:hAnsi="仿宋" w:eastAsia="仿宋" w:cs="仿宋"/>
          <w:sz w:val="36"/>
          <w:szCs w:val="36"/>
        </w:rPr>
      </w:pPr>
      <w:r>
        <w:rPr>
          <w:rFonts w:hint="eastAsia" w:ascii="仿宋" w:hAnsi="仿宋" w:eastAsia="仿宋" w:cs="仿宋"/>
          <w:sz w:val="36"/>
          <w:szCs w:val="36"/>
        </w:rPr>
        <w:t>鼓励在并高校、知识产权行业组织、国家级知识产权培训基地面向企事业单位、机关团体、服务机构开展知识产权基础培训、从业培训或者专利代理师考前培训等，培育复合型、专业化的知识产权服务人才。</w:t>
      </w:r>
    </w:p>
    <w:p w14:paraId="0EBC6BFF">
      <w:pPr>
        <w:ind w:firstLine="720" w:firstLineChars="200"/>
        <w:jc w:val="left"/>
        <w:rPr>
          <w:rFonts w:ascii="仿宋" w:hAnsi="仿宋" w:eastAsia="仿宋" w:cs="仿宋"/>
          <w:sz w:val="36"/>
          <w:szCs w:val="36"/>
        </w:rPr>
      </w:pPr>
      <w:r>
        <w:rPr>
          <w:rFonts w:hint="eastAsia" w:ascii="仿宋" w:hAnsi="仿宋" w:eastAsia="仿宋" w:cs="仿宋"/>
          <w:sz w:val="36"/>
          <w:szCs w:val="36"/>
        </w:rPr>
        <w:t>鼓励和支持高等院校设立知识产权专业、学科、学院开设知识产权相关课程，推动高等院校与知识产权服务机构、企业联合培养跨学科、应用型知识产权实务人才。</w:t>
      </w:r>
      <w:bookmarkEnd w:id="30"/>
    </w:p>
    <w:p w14:paraId="44E3241A">
      <w:pPr>
        <w:ind w:firstLine="723" w:firstLineChars="200"/>
        <w:jc w:val="left"/>
        <w:rPr>
          <w:rFonts w:ascii="仿宋" w:hAnsi="仿宋" w:eastAsia="仿宋" w:cs="仿宋"/>
          <w:sz w:val="36"/>
          <w:szCs w:val="36"/>
        </w:rPr>
      </w:pPr>
      <w:r>
        <w:rPr>
          <w:rFonts w:hint="eastAsia" w:ascii="仿宋" w:hAnsi="仿宋" w:eastAsia="仿宋" w:cs="仿宋"/>
          <w:b/>
          <w:sz w:val="36"/>
          <w:szCs w:val="36"/>
        </w:rPr>
        <w:t>第四十九条【知识产权管理】</w:t>
      </w:r>
      <w:r>
        <w:rPr>
          <w:rFonts w:hint="eastAsia" w:ascii="仿宋" w:hAnsi="仿宋" w:eastAsia="仿宋" w:cs="仿宋"/>
          <w:sz w:val="36"/>
          <w:szCs w:val="36"/>
        </w:rPr>
        <w:t>支持引导各类创新主体完善知识产权规范管理体系，开展知识产权管理规范认证，推动企业在并购、股权流转、对外投资等活动中加强知识产权资产管理。</w:t>
      </w:r>
    </w:p>
    <w:p w14:paraId="33DF7DDD">
      <w:pPr>
        <w:ind w:firstLine="720" w:firstLineChars="200"/>
        <w:jc w:val="left"/>
        <w:rPr>
          <w:rFonts w:ascii="仿宋" w:hAnsi="仿宋" w:eastAsia="仿宋" w:cs="仿宋"/>
          <w:sz w:val="36"/>
          <w:szCs w:val="36"/>
        </w:rPr>
      </w:pPr>
      <w:r>
        <w:rPr>
          <w:rFonts w:hint="eastAsia" w:ascii="仿宋" w:hAnsi="仿宋" w:eastAsia="仿宋" w:cs="仿宋"/>
          <w:sz w:val="36"/>
          <w:szCs w:val="36"/>
        </w:rPr>
        <w:t>鼓励企业、高等院校、科研机构内部设立知识产权管理岗位，推进知识产权专员制度建设。</w:t>
      </w:r>
    </w:p>
    <w:p w14:paraId="57725AD8">
      <w:pPr>
        <w:ind w:firstLine="723" w:firstLineChars="200"/>
        <w:jc w:val="left"/>
        <w:rPr>
          <w:rFonts w:ascii="仿宋" w:hAnsi="仿宋" w:eastAsia="仿宋" w:cs="仿宋"/>
          <w:sz w:val="36"/>
          <w:szCs w:val="36"/>
        </w:rPr>
      </w:pPr>
      <w:r>
        <w:rPr>
          <w:rFonts w:hint="eastAsia" w:ascii="仿宋" w:hAnsi="仿宋" w:eastAsia="仿宋" w:cs="仿宋"/>
          <w:b/>
          <w:sz w:val="36"/>
          <w:szCs w:val="36"/>
        </w:rPr>
        <w:t>第五十条【知识产权行业组织】</w:t>
      </w:r>
      <w:r>
        <w:rPr>
          <w:rFonts w:hint="eastAsia" w:ascii="仿宋" w:hAnsi="仿宋" w:eastAsia="仿宋" w:cs="仿宋"/>
          <w:sz w:val="36"/>
          <w:szCs w:val="36"/>
        </w:rPr>
        <w:t>市人民政府及其有关部门应当扶持和促进知识产权行业组织发展。</w:t>
      </w:r>
    </w:p>
    <w:p w14:paraId="71CF6A15">
      <w:pPr>
        <w:ind w:firstLine="720" w:firstLineChars="200"/>
        <w:jc w:val="left"/>
        <w:rPr>
          <w:rFonts w:ascii="仿宋" w:hAnsi="仿宋" w:eastAsia="仿宋" w:cs="仿宋"/>
          <w:sz w:val="36"/>
          <w:szCs w:val="36"/>
        </w:rPr>
      </w:pPr>
      <w:r>
        <w:rPr>
          <w:rFonts w:hint="eastAsia" w:ascii="仿宋" w:hAnsi="仿宋" w:eastAsia="仿宋" w:cs="仿宋"/>
          <w:sz w:val="36"/>
          <w:szCs w:val="36"/>
        </w:rPr>
        <w:t>知识产权行业组织应当加强对成员的自律管理，提高知识产权保护意识、规范经营行为，指导并协助成员有序发展、促进合作、防范风险、解决纠纷。</w:t>
      </w:r>
    </w:p>
    <w:p w14:paraId="4367AE38">
      <w:pPr>
        <w:jc w:val="center"/>
        <w:rPr>
          <w:rFonts w:ascii="楷体" w:hAnsi="楷体" w:eastAsia="楷体" w:cs="仿宋"/>
          <w:b/>
          <w:bCs/>
          <w:sz w:val="36"/>
          <w:szCs w:val="36"/>
        </w:rPr>
      </w:pPr>
    </w:p>
    <w:p w14:paraId="5B6AA1D5">
      <w:pPr>
        <w:jc w:val="center"/>
        <w:rPr>
          <w:rFonts w:ascii="楷体" w:hAnsi="楷体" w:eastAsia="楷体" w:cs="仿宋"/>
          <w:b/>
          <w:bCs/>
          <w:sz w:val="36"/>
          <w:szCs w:val="36"/>
        </w:rPr>
      </w:pPr>
      <w:r>
        <w:rPr>
          <w:rFonts w:hint="eastAsia" w:ascii="楷体" w:hAnsi="楷体" w:eastAsia="楷体" w:cs="仿宋"/>
          <w:b/>
          <w:bCs/>
          <w:sz w:val="36"/>
          <w:szCs w:val="36"/>
        </w:rPr>
        <w:t>第五章 附则</w:t>
      </w:r>
    </w:p>
    <w:p w14:paraId="42DC11FB">
      <w:pPr>
        <w:spacing w:line="240" w:lineRule="exact"/>
        <w:jc w:val="center"/>
        <w:rPr>
          <w:rFonts w:ascii="楷体" w:hAnsi="楷体" w:eastAsia="楷体" w:cs="仿宋"/>
          <w:b/>
          <w:bCs/>
          <w:sz w:val="36"/>
          <w:szCs w:val="36"/>
        </w:rPr>
      </w:pPr>
    </w:p>
    <w:p w14:paraId="626FA16E">
      <w:pPr>
        <w:ind w:firstLine="723" w:firstLineChars="200"/>
        <w:jc w:val="left"/>
        <w:rPr>
          <w:rFonts w:ascii="仿宋" w:hAnsi="仿宋" w:eastAsia="仿宋" w:cs="仿宋"/>
          <w:sz w:val="36"/>
          <w:szCs w:val="36"/>
        </w:rPr>
      </w:pPr>
      <w:r>
        <w:rPr>
          <w:rFonts w:hint="eastAsia" w:ascii="仿宋" w:hAnsi="仿宋" w:eastAsia="仿宋" w:cs="仿宋"/>
          <w:b/>
          <w:sz w:val="36"/>
          <w:szCs w:val="36"/>
        </w:rPr>
        <w:t>第五十一条【生效规则】</w:t>
      </w:r>
      <w:r>
        <w:rPr>
          <w:rFonts w:hint="eastAsia" w:ascii="仿宋" w:hAnsi="仿宋" w:eastAsia="仿宋" w:cs="仿宋"/>
          <w:sz w:val="36"/>
          <w:szCs w:val="36"/>
        </w:rPr>
        <w:t>本条例自  年  月  日起生效。</w:t>
      </w:r>
      <w:r>
        <w:rPr>
          <w:rFonts w:hint="eastAsia" w:ascii="仿宋" w:hAnsi="仿宋" w:eastAsia="仿宋" w:cs="仿宋"/>
          <w:sz w:val="36"/>
          <w:szCs w:val="36"/>
        </w:rPr>
        <w:tab/>
      </w:r>
      <w:r>
        <w:rPr>
          <w:rFonts w:hint="eastAsia" w:ascii="仿宋" w:hAnsi="仿宋" w:eastAsia="仿宋" w:cs="仿宋"/>
          <w:sz w:val="36"/>
          <w:szCs w:val="36"/>
        </w:rPr>
        <w:t>生效时间。</w:t>
      </w:r>
      <w:bookmarkEnd w:id="23"/>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C59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049265"/>
                          </w:sdtPr>
                          <w:sdtEndPr>
                            <w:rPr>
                              <w:rFonts w:hint="eastAsia" w:asciiTheme="majorEastAsia" w:hAnsiTheme="majorEastAsia" w:eastAsiaTheme="majorEastAsia" w:cstheme="majorEastAsia"/>
                              <w:sz w:val="28"/>
                              <w:szCs w:val="28"/>
                            </w:rPr>
                          </w:sdtEndPr>
                          <w:sdtContent>
                            <w:p w14:paraId="0EE3D5FC">
                              <w:pPr>
                                <w:pStyle w:val="3"/>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13 -</w:t>
                              </w:r>
                              <w:r>
                                <w:rPr>
                                  <w:rFonts w:hint="eastAsia" w:asciiTheme="majorEastAsia" w:hAnsiTheme="majorEastAsia" w:eastAsiaTheme="majorEastAsia" w:cstheme="majorEastAsia"/>
                                  <w:sz w:val="28"/>
                                  <w:szCs w:val="28"/>
                                </w:rPr>
                                <w:fldChar w:fldCharType="end"/>
                              </w:r>
                            </w:p>
                          </w:sdtContent>
                        </w:sdt>
                        <w:p w14:paraId="698BE6E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049265"/>
                    </w:sdtPr>
                    <w:sdtEndPr>
                      <w:rPr>
                        <w:rFonts w:hint="eastAsia" w:asciiTheme="majorEastAsia" w:hAnsiTheme="majorEastAsia" w:eastAsiaTheme="majorEastAsia" w:cstheme="majorEastAsia"/>
                        <w:sz w:val="28"/>
                        <w:szCs w:val="28"/>
                      </w:rPr>
                    </w:sdtEndPr>
                    <w:sdtContent>
                      <w:p w14:paraId="0EE3D5FC">
                        <w:pPr>
                          <w:pStyle w:val="3"/>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13 -</w:t>
                        </w:r>
                        <w:r>
                          <w:rPr>
                            <w:rFonts w:hint="eastAsia" w:asciiTheme="majorEastAsia" w:hAnsiTheme="majorEastAsia" w:eastAsiaTheme="majorEastAsia" w:cstheme="majorEastAsia"/>
                            <w:sz w:val="28"/>
                            <w:szCs w:val="28"/>
                          </w:rPr>
                          <w:fldChar w:fldCharType="end"/>
                        </w:r>
                      </w:p>
                    </w:sdtContent>
                  </w:sdt>
                  <w:p w14:paraId="698BE6E9"/>
                </w:txbxContent>
              </v:textbox>
            </v:shape>
          </w:pict>
        </mc:Fallback>
      </mc:AlternateContent>
    </w:r>
  </w:p>
  <w:p w14:paraId="0454D5F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5686F"/>
    <w:rsid w:val="000E2F0D"/>
    <w:rsid w:val="0010656A"/>
    <w:rsid w:val="001836E3"/>
    <w:rsid w:val="001C32E5"/>
    <w:rsid w:val="00453F83"/>
    <w:rsid w:val="004725D1"/>
    <w:rsid w:val="004F023A"/>
    <w:rsid w:val="005A7422"/>
    <w:rsid w:val="00686319"/>
    <w:rsid w:val="006A228C"/>
    <w:rsid w:val="006B3D24"/>
    <w:rsid w:val="006C1AD9"/>
    <w:rsid w:val="00780CC8"/>
    <w:rsid w:val="007D346A"/>
    <w:rsid w:val="007E325D"/>
    <w:rsid w:val="00815BCC"/>
    <w:rsid w:val="00821F42"/>
    <w:rsid w:val="00821FC3"/>
    <w:rsid w:val="00823F4A"/>
    <w:rsid w:val="008467A3"/>
    <w:rsid w:val="008A0821"/>
    <w:rsid w:val="008E6DCD"/>
    <w:rsid w:val="00933A81"/>
    <w:rsid w:val="009F4623"/>
    <w:rsid w:val="009F7214"/>
    <w:rsid w:val="00AF60B9"/>
    <w:rsid w:val="00B414A4"/>
    <w:rsid w:val="00B659AB"/>
    <w:rsid w:val="00B75398"/>
    <w:rsid w:val="00BA70B0"/>
    <w:rsid w:val="00C13266"/>
    <w:rsid w:val="00D6148D"/>
    <w:rsid w:val="00DD441D"/>
    <w:rsid w:val="00E57B65"/>
    <w:rsid w:val="00FD1DEB"/>
    <w:rsid w:val="2965686F"/>
    <w:rsid w:val="2E1D343D"/>
    <w:rsid w:val="2EF5B6CF"/>
    <w:rsid w:val="3C3AB157"/>
    <w:rsid w:val="3FEF337E"/>
    <w:rsid w:val="45062140"/>
    <w:rsid w:val="4BB5F985"/>
    <w:rsid w:val="66CC477E"/>
    <w:rsid w:val="763DD51B"/>
    <w:rsid w:val="77032B70"/>
    <w:rsid w:val="79F2D7AB"/>
    <w:rsid w:val="7DEE1795"/>
    <w:rsid w:val="7F977ACD"/>
    <w:rsid w:val="7FFD52C5"/>
    <w:rsid w:val="B8FF0E01"/>
    <w:rsid w:val="C7FFED2A"/>
    <w:rsid w:val="DBFD7DD1"/>
    <w:rsid w:val="DFEB290F"/>
    <w:rsid w:val="DFFF4A43"/>
    <w:rsid w:val="EBFF06CE"/>
    <w:rsid w:val="FEEB8536"/>
    <w:rsid w:val="FF574F8B"/>
    <w:rsid w:val="FF5E9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font11"/>
    <w:basedOn w:val="6"/>
    <w:qFormat/>
    <w:uiPriority w:val="0"/>
    <w:rPr>
      <w:rFonts w:hint="eastAsia" w:ascii="仿宋" w:hAnsi="仿宋" w:eastAsia="仿宋" w:cs="仿宋"/>
      <w:color w:val="000000"/>
      <w:sz w:val="22"/>
      <w:szCs w:val="22"/>
      <w:u w:val="none"/>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18</Pages>
  <Words>7442</Words>
  <Characters>7446</Characters>
  <Lines>53</Lines>
  <Paragraphs>15</Paragraphs>
  <TotalTime>128</TotalTime>
  <ScaleCrop>false</ScaleCrop>
  <LinksUpToDate>false</LinksUpToDate>
  <CharactersWithSpaces>7476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2026-02-13T00:05:00Z</dcterms:created>
  <dc:creator>lj</dc:creator>
  <cp:lastModifiedBy>刘益东</cp:lastModifiedBy>
  <cp:lastPrinted>2026-02-13T11:00:00Z</cp:lastPrinted>
  <dcterms:modified xsi:type="dcterms:W3CDTF">2026-02-26T09:44:24Z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CC1EEFFAA13E4A6DA50600AAC732A367_13</vt:lpwstr>
  </property>
  <property fmtid="{D5CDD505-2E9C-101B-9397-08002B2CF9AE}" pid="4" name="KSOTemplateDocerSaveRecord">
    <vt:lpwstr>eyJoZGlkIjoiNjI4ZmEzNTYwMGQ1MWNmZTI3ZDg2MGRmOWU1ZWY3NzAiLCJ1c2VySWQiOiI0MzA4Nzc5NTgifQ==</vt:lpwstr>
  </property>
</Properties>
</file>