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06" w:rsidRDefault="003F2106" w:rsidP="003F2106">
      <w:pPr>
        <w:rPr>
          <w:rFonts w:ascii="CESI小标宋-GB18030" w:eastAsia="CESI小标宋-GB18030" w:hAnsi="CESI小标宋-GB18030" w:cs="CESI小标宋-GB18030" w:hint="eastAsia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3F2106" w:rsidRDefault="003F2106" w:rsidP="003F2106">
      <w:pPr>
        <w:jc w:val="center"/>
        <w:rPr>
          <w:rFonts w:ascii="方正黑体_GBK" w:eastAsia="方正黑体_GBK" w:hAnsi="方正黑体_GBK" w:cs="方正黑体_GBK" w:hint="eastAsia"/>
          <w:kern w:val="0"/>
          <w:sz w:val="28"/>
          <w:szCs w:val="28"/>
          <w:lang/>
        </w:rPr>
      </w:pPr>
      <w:r>
        <w:rPr>
          <w:rFonts w:ascii="CESI小标宋-GB18030" w:eastAsia="CESI小标宋-GB18030" w:hAnsi="CESI小标宋-GB18030" w:cs="CESI小标宋-GB18030" w:hint="eastAsia"/>
          <w:sz w:val="36"/>
          <w:szCs w:val="36"/>
        </w:rPr>
        <w:t>2026年省级高级研修项目计划（40个）</w:t>
      </w:r>
    </w:p>
    <w:tbl>
      <w:tblPr>
        <w:tblW w:w="0" w:type="auto"/>
        <w:tblInd w:w="91" w:type="dxa"/>
        <w:tblLook w:val="0000"/>
      </w:tblPr>
      <w:tblGrid>
        <w:gridCol w:w="834"/>
        <w:gridCol w:w="4476"/>
        <w:gridCol w:w="3121"/>
      </w:tblGrid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  <w:lang/>
              </w:rPr>
              <w:t>选题名称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  <w:lang/>
              </w:rPr>
              <w:t>承办单位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科技战略与区域创新政策研修班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山西大学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粮食产能提升与生物育种技术创新发展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山西农业大学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3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半导体关键技术及产业应用发展高级研修班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中北大学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低空经济关键技术与产业应用发展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太原理工大学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5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智融产业·数启新程—人工智能赋能企业数字化转型及产业应用型人才培养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太原师范学院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6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高技术陶瓷材料智能制造与应用开发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山西工学院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7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生态文明新质生产力融合创新高级研修班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山西大同大学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8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新能源及智能网联汽车技术高级研修班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山西交通技师学院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“人工智能与文化和旅游深度融合人才”高级研修班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山西省财政税务专科学校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智能装备制造赋能轨道交通高质量发展高级研修项目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山西铁道职业技术学院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工业人工智能赋能山西高质量发展高级研修班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太原工业学院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锚定人才强省，服务健康山西——医理-工前沿交叉创新骨干高级研修班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山西白求恩医院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血管疾病规范化防治与全程管理及新技术应用推广高级研修班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山西白求恩医院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细胞生物新型治疗在免疫性疾病研究与转化研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lastRenderedPageBreak/>
              <w:t>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lastRenderedPageBreak/>
              <w:t>山西白求恩医院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lastRenderedPageBreak/>
              <w:t>15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腹腔镜外科技术推广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山西省人民医院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山西省妇科肿瘤规范化治疗学术研讨班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山西省人民医院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精准肝切除多模态诊疗体系构建与临床实践高级研修班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山西省人民医院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颅内动脉瘤介入与显微外科技术高级研修班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山西医科大学第一医院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脑机接口与神经调控高级研修班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山西医科大学第一医院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消化道肿瘤临床诊疗及科研转化高级研修班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山西医科大学第一医院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骨关节疾病焦点问题高级研修班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山西医科大学第二医院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22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2026山西省耳鼻喉“三新”项目高级研修班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山西医科大学第二医院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肿瘤代谢重编程与精准营养干预高级研修班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山西省肿瘤医院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儿童恶性实体瘤综合诊疗策略学习班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山西省儿童医院（山西省妇幼保健院）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急性主动脉综合症规范化诊治高级研修班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山西省心血管病医院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脑健康与认知障碍高级研修班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山西省心血管病医院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人工智能应用与数字经济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山西省创新创业服务中心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山西省丘陵山区有机旱作智慧农机高级研修班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山西省农业机械发展中心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晋企转型与数字赋能-山西留学回国人才创新发展高级研修班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山西省人才服务中心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低空经济与区域经济协同发展高级研修班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山西省社会科学院（山西省人民政府发展研究中心）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31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推动新型能源体系建设 打造能源新质生产力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清华大学山西清洁能源研究院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lastRenderedPageBreak/>
              <w:t>32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建筑新材料前沿技术转化与产业生态构建高级研修班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山西建设投资集团有限公司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33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新一代交通智能装备与机器人创新技术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山西交通科学研究院集团有限公司、山西省智慧交通实验室有限公司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34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基于AI技术的数字文博资源活化与文旅融合创新研究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山西省博物馆协会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35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创新驱动山西转型发展食品安全“两个责任”全链条落地与一流创新生态建设高级研修班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山西省检验检测学会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36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数字经济赋能山西高质量发展与政府治理现代化高级研修班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山西省公共管理学会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基于新质生产力下构建的煤化工与新能源耦合新体系高级研修班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山西省化工学会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38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山西省能源绿色智能化开采新技术高级研修班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山西省老科学技术工作者协会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39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山西人力资源数字化转型与高质量发展高级研修班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山西省人力资源研究会</w:t>
            </w:r>
          </w:p>
        </w:tc>
      </w:tr>
      <w:tr w:rsidR="003F2106" w:rsidTr="00AF4133">
        <w:trPr>
          <w:trHeight w:val="5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/>
              </w:rPr>
              <w:t>40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智算技术与算力规划高级研修班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106" w:rsidRDefault="003F2106" w:rsidP="00AF413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/>
              </w:rPr>
              <w:t>大同市数据局</w:t>
            </w:r>
          </w:p>
        </w:tc>
      </w:tr>
    </w:tbl>
    <w:p w:rsidR="003F2106" w:rsidRDefault="003F2106" w:rsidP="003F2106"/>
    <w:p w:rsidR="003F2106" w:rsidRDefault="003F2106" w:rsidP="003F2106"/>
    <w:p w:rsidR="00AA2E83" w:rsidRDefault="00AA2E83"/>
    <w:sectPr w:rsidR="00AA2E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E83" w:rsidRDefault="00AA2E83" w:rsidP="003F2106">
      <w:r>
        <w:separator/>
      </w:r>
    </w:p>
  </w:endnote>
  <w:endnote w:type="continuationSeparator" w:id="1">
    <w:p w:rsidR="00AA2E83" w:rsidRDefault="00AA2E83" w:rsidP="003F2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ESI小标宋-GB18030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E83" w:rsidRDefault="00AA2E83" w:rsidP="003F2106">
      <w:r>
        <w:separator/>
      </w:r>
    </w:p>
  </w:footnote>
  <w:footnote w:type="continuationSeparator" w:id="1">
    <w:p w:rsidR="00AA2E83" w:rsidRDefault="00AA2E83" w:rsidP="003F21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106"/>
    <w:rsid w:val="003F2106"/>
    <w:rsid w:val="00AA2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F21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F2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F210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F21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F2106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3F2106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3F2106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3F2106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3F21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2026-04-03T08:34:00Z</dcterms:created>
  <dcterms:modified xsi:type="dcterms:W3CDTF">2026-04-03T08:35:00Z</dcterms:modified>
</cp:coreProperties>
</file>