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3E25E">
      <w:pPr>
        <w:ind w:firstLine="0" w:firstLineChars="0"/>
        <w:rPr>
          <w:rFonts w:ascii="黑体" w:hAnsi="黑体" w:eastAsia="黑体"/>
          <w:szCs w:val="44"/>
        </w:rPr>
      </w:pPr>
      <w:r>
        <w:rPr>
          <w:rFonts w:hint="eastAsia" w:ascii="黑体" w:hAnsi="黑体" w:eastAsia="黑体"/>
          <w:szCs w:val="44"/>
        </w:rPr>
        <w:t>附件</w:t>
      </w:r>
    </w:p>
    <w:p w14:paraId="22E23833">
      <w:pPr>
        <w:pStyle w:val="4"/>
      </w:pPr>
    </w:p>
    <w:p w14:paraId="05978B3A">
      <w:pPr>
        <w:pStyle w:val="4"/>
      </w:pPr>
      <w:r>
        <w:t>山西省“人工智能</w:t>
      </w:r>
      <w:r>
        <w:rPr>
          <w:rFonts w:hint="eastAsia" w:ascii="方正小标宋简体"/>
        </w:rPr>
        <w:t>+</w:t>
      </w:r>
      <w:r>
        <w:t>”行业创新联合体管理办法</w:t>
      </w:r>
    </w:p>
    <w:p w14:paraId="11D44F89">
      <w:pPr>
        <w:ind w:firstLine="640"/>
        <w:jc w:val="center"/>
        <w:rPr>
          <w:rFonts w:ascii="楷体_GB2312" w:hAnsi="楷体_GB2312" w:eastAsia="楷体_GB2312" w:cs="楷体_GB2312"/>
          <w:szCs w:val="32"/>
        </w:rPr>
      </w:pPr>
    </w:p>
    <w:p w14:paraId="1BABD0DC">
      <w:pPr>
        <w:ind w:firstLine="0" w:firstLineChars="0"/>
        <w:jc w:val="center"/>
        <w:rPr>
          <w:rFonts w:ascii="楷体_GB2312" w:hAnsi="楷体_GB2312" w:eastAsia="楷体_GB2312" w:cs="楷体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（征求意见稿）</w:t>
      </w:r>
    </w:p>
    <w:p w14:paraId="5B15D892">
      <w:pPr>
        <w:ind w:firstLine="640"/>
        <w:jc w:val="center"/>
        <w:rPr>
          <w:rFonts w:hint="eastAsia" w:ascii="楷体_GB2312" w:hAnsi="楷体_GB2312" w:eastAsia="楷体_GB2312" w:cs="楷体_GB2312"/>
          <w:szCs w:val="32"/>
        </w:rPr>
      </w:pPr>
    </w:p>
    <w:p w14:paraId="22E8F500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总 则</w:t>
      </w:r>
    </w:p>
    <w:p w14:paraId="0FC71BC9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第一条 </w:t>
      </w:r>
      <w:r>
        <w:rPr>
          <w:rFonts w:hint="eastAsia"/>
          <w:szCs w:val="32"/>
        </w:rPr>
        <w:t>为深入实施“人工智能+”行动</w:t>
      </w:r>
      <w:r>
        <w:rPr>
          <w:szCs w:val="32"/>
        </w:rPr>
        <w:t>，加快推进人工智能与</w:t>
      </w:r>
      <w:r>
        <w:rPr>
          <w:rFonts w:hint="eastAsia"/>
          <w:szCs w:val="32"/>
        </w:rPr>
        <w:t>经济社会各领域各行业</w:t>
      </w:r>
      <w:r>
        <w:rPr>
          <w:szCs w:val="32"/>
        </w:rPr>
        <w:t>深度融合，规范</w:t>
      </w:r>
      <w:r>
        <w:rPr>
          <w:rFonts w:hint="eastAsia"/>
          <w:szCs w:val="32"/>
        </w:rPr>
        <w:t>山西省</w:t>
      </w:r>
      <w:r>
        <w:rPr>
          <w:szCs w:val="32"/>
        </w:rPr>
        <w:t>“人工智能+”行业创新联合体（以下简称“创新联合体”）的建设与运行管理，按照《人工智能“十五五”发展规划》《山西省“十五五”人工智能发展规划</w:t>
      </w:r>
      <w:r>
        <w:rPr>
          <w:rFonts w:hint="eastAsia"/>
          <w:szCs w:val="32"/>
        </w:rPr>
        <w:t>》等</w:t>
      </w:r>
      <w:r>
        <w:rPr>
          <w:szCs w:val="32"/>
        </w:rPr>
        <w:t>有关要求，结合我省实际，制定本办法。</w:t>
      </w:r>
    </w:p>
    <w:p w14:paraId="7A6E8DD3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第二条 </w:t>
      </w:r>
      <w:r>
        <w:rPr>
          <w:szCs w:val="32"/>
        </w:rPr>
        <w:t>本办法所称创新联合体，是指</w:t>
      </w:r>
      <w:r>
        <w:rPr>
          <w:rFonts w:hint="eastAsia"/>
          <w:szCs w:val="32"/>
        </w:rPr>
        <w:t>根据</w:t>
      </w:r>
      <w:r>
        <w:rPr>
          <w:szCs w:val="32"/>
        </w:rPr>
        <w:t>山西特色优势</w:t>
      </w:r>
      <w:r>
        <w:rPr>
          <w:rFonts w:hint="eastAsia"/>
          <w:szCs w:val="32"/>
        </w:rPr>
        <w:t>领域</w:t>
      </w:r>
      <w:r>
        <w:rPr>
          <w:szCs w:val="32"/>
        </w:rPr>
        <w:t>发展需求，坚持应用牵引、强化技术创新，面向人工智能基础层、框架层、模型层、应用层等全产业链条，由领军单位牵头，联合产业链上下游企业、高等院校、科研院所等</w:t>
      </w:r>
      <w:r>
        <w:rPr>
          <w:rFonts w:hint="eastAsia"/>
          <w:szCs w:val="32"/>
        </w:rPr>
        <w:t>建设的</w:t>
      </w:r>
      <w:r>
        <w:rPr>
          <w:szCs w:val="32"/>
        </w:rPr>
        <w:t>协同创新组织。</w:t>
      </w:r>
    </w:p>
    <w:p w14:paraId="63FB78F1">
      <w:pPr>
        <w:ind w:firstLine="64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本办法适用于</w:t>
      </w:r>
      <w:r>
        <w:t>创新联合体</w:t>
      </w:r>
      <w:r>
        <w:rPr>
          <w:rFonts w:hint="eastAsia"/>
        </w:rPr>
        <w:t>的申报、认定、建设、评价、监管等行为。</w:t>
      </w:r>
    </w:p>
    <w:p w14:paraId="6B398C68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第三条 </w:t>
      </w:r>
      <w:r>
        <w:rPr>
          <w:rFonts w:hint="eastAsia"/>
          <w:szCs w:val="32"/>
        </w:rPr>
        <w:t>创新</w:t>
      </w:r>
      <w:r>
        <w:rPr>
          <w:szCs w:val="32"/>
        </w:rPr>
        <w:t>联合体</w:t>
      </w:r>
      <w:r>
        <w:rPr>
          <w:rFonts w:hint="eastAsia"/>
          <w:szCs w:val="32"/>
        </w:rPr>
        <w:t>组建</w:t>
      </w:r>
      <w:r>
        <w:rPr>
          <w:szCs w:val="32"/>
        </w:rPr>
        <w:t>遵循以下原则：</w:t>
      </w:r>
    </w:p>
    <w:p w14:paraId="49BF7E86">
      <w:pPr>
        <w:ind w:firstLine="640"/>
        <w:rPr>
          <w:szCs w:val="32"/>
        </w:rPr>
      </w:pPr>
      <w:r>
        <w:rPr>
          <w:rFonts w:hint="eastAsia"/>
          <w:szCs w:val="32"/>
        </w:rPr>
        <w:t>（一）</w:t>
      </w:r>
      <w:r>
        <w:rPr>
          <w:szCs w:val="32"/>
        </w:rPr>
        <w:t>应用牵引</w:t>
      </w:r>
      <w:r>
        <w:rPr>
          <w:rFonts w:hint="eastAsia"/>
          <w:szCs w:val="32"/>
        </w:rPr>
        <w:t>。</w:t>
      </w:r>
      <w:r>
        <w:rPr>
          <w:szCs w:val="32"/>
        </w:rPr>
        <w:t>立足山西特色优势</w:t>
      </w:r>
      <w:r>
        <w:rPr>
          <w:rFonts w:hint="eastAsia"/>
          <w:szCs w:val="32"/>
        </w:rPr>
        <w:t>领域</w:t>
      </w:r>
      <w:r>
        <w:rPr>
          <w:szCs w:val="32"/>
        </w:rPr>
        <w:t>，聚焦痛点难点，以场景需求带动技术创新</w:t>
      </w:r>
      <w:r>
        <w:rPr>
          <w:rFonts w:hint="eastAsia"/>
          <w:szCs w:val="32"/>
        </w:rPr>
        <w:t>；</w:t>
      </w:r>
    </w:p>
    <w:p w14:paraId="4345E684">
      <w:pPr>
        <w:ind w:firstLine="640"/>
        <w:rPr>
          <w:szCs w:val="32"/>
        </w:rPr>
      </w:pPr>
      <w:r>
        <w:rPr>
          <w:rFonts w:hint="eastAsia"/>
          <w:szCs w:val="32"/>
        </w:rPr>
        <w:t>（二）创新协同。</w:t>
      </w:r>
      <w:r>
        <w:rPr>
          <w:szCs w:val="32"/>
        </w:rPr>
        <w:t>推动产学研用各方优势互补、深度联动，打通创新全链条，形成“数算模用”飞轮效应</w:t>
      </w:r>
      <w:r>
        <w:rPr>
          <w:rFonts w:hint="eastAsia"/>
          <w:szCs w:val="32"/>
        </w:rPr>
        <w:t>；</w:t>
      </w:r>
    </w:p>
    <w:p w14:paraId="2B6C533C">
      <w:pPr>
        <w:ind w:firstLine="640"/>
        <w:rPr>
          <w:szCs w:val="32"/>
        </w:rPr>
      </w:pPr>
      <w:r>
        <w:rPr>
          <w:rFonts w:hint="eastAsia"/>
          <w:szCs w:val="32"/>
        </w:rPr>
        <w:t>（三）</w:t>
      </w:r>
      <w:r>
        <w:rPr>
          <w:szCs w:val="32"/>
        </w:rPr>
        <w:t>择优布局</w:t>
      </w:r>
      <w:r>
        <w:rPr>
          <w:rFonts w:hint="eastAsia"/>
          <w:szCs w:val="32"/>
        </w:rPr>
        <w:t>。</w:t>
      </w:r>
      <w:r>
        <w:rPr>
          <w:szCs w:val="32"/>
        </w:rPr>
        <w:t>每个领域</w:t>
      </w:r>
      <w:r>
        <w:rPr>
          <w:rFonts w:hint="eastAsia"/>
          <w:szCs w:val="32"/>
        </w:rPr>
        <w:t>细分</w:t>
      </w:r>
      <w:r>
        <w:rPr>
          <w:szCs w:val="32"/>
        </w:rPr>
        <w:t>行业原则上仅</w:t>
      </w:r>
      <w:r>
        <w:rPr>
          <w:rFonts w:hint="eastAsia"/>
          <w:szCs w:val="32"/>
        </w:rPr>
        <w:t>设立</w:t>
      </w:r>
      <w:r>
        <w:rPr>
          <w:szCs w:val="32"/>
        </w:rPr>
        <w:t>1个创新联合体，避免重复建设</w:t>
      </w:r>
      <w:r>
        <w:rPr>
          <w:rFonts w:hint="eastAsia"/>
          <w:szCs w:val="32"/>
        </w:rPr>
        <w:t>；</w:t>
      </w:r>
    </w:p>
    <w:p w14:paraId="798070CD">
      <w:pPr>
        <w:ind w:firstLine="640"/>
        <w:rPr>
          <w:szCs w:val="32"/>
        </w:rPr>
      </w:pPr>
      <w:r>
        <w:rPr>
          <w:rFonts w:hint="eastAsia"/>
          <w:szCs w:val="32"/>
        </w:rPr>
        <w:t>（四）</w:t>
      </w:r>
      <w:r>
        <w:rPr>
          <w:szCs w:val="32"/>
        </w:rPr>
        <w:t>动态管理</w:t>
      </w:r>
      <w:r>
        <w:rPr>
          <w:rFonts w:hint="eastAsia"/>
          <w:szCs w:val="32"/>
        </w:rPr>
        <w:t>。</w:t>
      </w:r>
      <w:r>
        <w:rPr>
          <w:szCs w:val="32"/>
        </w:rPr>
        <w:t>建立</w:t>
      </w:r>
      <w:r>
        <w:rPr>
          <w:rFonts w:hint="eastAsia"/>
          <w:szCs w:val="32"/>
        </w:rPr>
        <w:t>评价</w:t>
      </w:r>
      <w:r>
        <w:rPr>
          <w:szCs w:val="32"/>
        </w:rPr>
        <w:t>和动态调整机制，实行有进有出的闭环管理。</w:t>
      </w:r>
    </w:p>
    <w:p w14:paraId="47AC9456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第四条 </w:t>
      </w:r>
      <w:r>
        <w:rPr>
          <w:rFonts w:hint="eastAsia"/>
          <w:szCs w:val="32"/>
        </w:rPr>
        <w:t>创新</w:t>
      </w:r>
      <w:r>
        <w:rPr>
          <w:szCs w:val="32"/>
        </w:rPr>
        <w:t>联合体的主要</w:t>
      </w:r>
      <w:r>
        <w:rPr>
          <w:rFonts w:hint="eastAsia"/>
          <w:szCs w:val="32"/>
        </w:rPr>
        <w:t>目的</w:t>
      </w:r>
      <w:r>
        <w:rPr>
          <w:szCs w:val="32"/>
        </w:rPr>
        <w:t>：</w:t>
      </w:r>
    </w:p>
    <w:p w14:paraId="000666E3">
      <w:pPr>
        <w:ind w:firstLine="640"/>
        <w:rPr>
          <w:szCs w:val="32"/>
        </w:rPr>
      </w:pPr>
      <w:r>
        <w:rPr>
          <w:rFonts w:hint="eastAsia"/>
          <w:szCs w:val="32"/>
        </w:rPr>
        <w:t>（一）坚持目标导向，着眼加快人工智能融合应用，构建“数据+算力+大模型+场景”四环紧扣的协同创新组织，推动行业大模型研发、技术熟化、应用落地、成果推广，加快人工智能创新能力提升和典型应用场景涌现；</w:t>
      </w:r>
    </w:p>
    <w:p w14:paraId="74642135">
      <w:pPr>
        <w:ind w:firstLine="640"/>
        <w:rPr>
          <w:szCs w:val="32"/>
        </w:rPr>
      </w:pPr>
      <w:r>
        <w:rPr>
          <w:rFonts w:hint="eastAsia"/>
          <w:szCs w:val="32"/>
        </w:rPr>
        <w:t>（二）坚持问题导向，践行“产业出题、科技答题、市场阅卷”理念，立足我省</w:t>
      </w:r>
      <w:r>
        <w:rPr>
          <w:szCs w:val="32"/>
        </w:rPr>
        <w:t>特色优势</w:t>
      </w:r>
      <w:r>
        <w:rPr>
          <w:rFonts w:hint="eastAsia"/>
          <w:szCs w:val="32"/>
        </w:rPr>
        <w:t>领域</w:t>
      </w:r>
      <w:r>
        <w:rPr>
          <w:szCs w:val="32"/>
        </w:rPr>
        <w:t>，聚焦痛点难点，以场景需求带动技术创新</w:t>
      </w:r>
      <w:r>
        <w:rPr>
          <w:rFonts w:hint="eastAsia"/>
          <w:szCs w:val="32"/>
        </w:rPr>
        <w:t>，构建产学研用联合攻关体系，全面提升人工智能服务实体经济的质效；</w:t>
      </w:r>
    </w:p>
    <w:p w14:paraId="308DF3D7">
      <w:pPr>
        <w:ind w:firstLine="640"/>
        <w:rPr>
          <w:szCs w:val="32"/>
        </w:rPr>
      </w:pPr>
      <w:r>
        <w:rPr>
          <w:rFonts w:hint="eastAsia"/>
          <w:szCs w:val="32"/>
        </w:rPr>
        <w:t>（三）坚持结果导向，围绕提升产学研用协同创新效能，深化模式创新，健全知识产权共享、收益按效分配的利益联结机制，加快自我造血和商业闭环，激发各类创新主体活力，实现技术可落地、场景可复制、效益可衡量。</w:t>
      </w:r>
    </w:p>
    <w:p w14:paraId="4305F654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组织管理</w:t>
      </w:r>
    </w:p>
    <w:p w14:paraId="1A64D18A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第五条 </w:t>
      </w:r>
      <w:r>
        <w:rPr>
          <w:szCs w:val="32"/>
        </w:rPr>
        <w:t>省发展改革委是创新联合体的</w:t>
      </w:r>
      <w:r>
        <w:rPr>
          <w:rFonts w:hint="eastAsia"/>
          <w:szCs w:val="32"/>
        </w:rPr>
        <w:t>统筹</w:t>
      </w:r>
      <w:r>
        <w:rPr>
          <w:szCs w:val="32"/>
        </w:rPr>
        <w:t>管理部门，主要</w:t>
      </w:r>
      <w:r>
        <w:rPr>
          <w:rFonts w:hint="eastAsia"/>
          <w:szCs w:val="32"/>
        </w:rPr>
        <w:t>负责</w:t>
      </w:r>
      <w:r>
        <w:rPr>
          <w:szCs w:val="32"/>
        </w:rPr>
        <w:t>：</w:t>
      </w:r>
    </w:p>
    <w:p w14:paraId="691D14E3">
      <w:pPr>
        <w:ind w:firstLine="640"/>
        <w:rPr>
          <w:szCs w:val="32"/>
        </w:rPr>
      </w:pPr>
      <w:r>
        <w:rPr>
          <w:rFonts w:hint="eastAsia"/>
          <w:szCs w:val="32"/>
        </w:rPr>
        <w:t>（一）制定创新联合体管理制度，</w:t>
      </w:r>
      <w:r>
        <w:rPr>
          <w:szCs w:val="32"/>
        </w:rPr>
        <w:t>统筹规划</w:t>
      </w:r>
      <w:r>
        <w:rPr>
          <w:rFonts w:hint="eastAsia"/>
          <w:szCs w:val="32"/>
        </w:rPr>
        <w:t>创新联合体在重点领域、行业</w:t>
      </w:r>
      <w:r>
        <w:rPr>
          <w:szCs w:val="32"/>
        </w:rPr>
        <w:t xml:space="preserve">布局； </w:t>
      </w:r>
    </w:p>
    <w:p w14:paraId="381C5448">
      <w:pPr>
        <w:ind w:firstLine="640"/>
        <w:rPr>
          <w:szCs w:val="32"/>
        </w:rPr>
      </w:pPr>
      <w:r>
        <w:rPr>
          <w:rFonts w:hint="eastAsia"/>
          <w:szCs w:val="32"/>
        </w:rPr>
        <w:t>（二）会同有关方面</w:t>
      </w:r>
      <w:r>
        <w:rPr>
          <w:szCs w:val="32"/>
        </w:rPr>
        <w:t>制定创新联合体</w:t>
      </w:r>
      <w:r>
        <w:rPr>
          <w:rFonts w:hint="eastAsia"/>
          <w:szCs w:val="32"/>
        </w:rPr>
        <w:t>申报通知，对符合条件的择优认定；</w:t>
      </w:r>
    </w:p>
    <w:p w14:paraId="02FD88BB">
      <w:pPr>
        <w:ind w:firstLine="640"/>
        <w:rPr>
          <w:szCs w:val="32"/>
        </w:rPr>
      </w:pPr>
      <w:r>
        <w:rPr>
          <w:rFonts w:hint="eastAsia"/>
          <w:szCs w:val="32"/>
        </w:rPr>
        <w:t>（三）会同有关方面对已认定的创新联合体进行监督管理，并开展运行评价；</w:t>
      </w:r>
    </w:p>
    <w:p w14:paraId="6E6CF92C">
      <w:pPr>
        <w:ind w:firstLine="640"/>
        <w:rPr>
          <w:szCs w:val="32"/>
        </w:rPr>
      </w:pPr>
      <w:r>
        <w:rPr>
          <w:rFonts w:hint="eastAsia"/>
          <w:szCs w:val="32"/>
        </w:rPr>
        <w:t>（四）会同有关方面</w:t>
      </w:r>
      <w:r>
        <w:rPr>
          <w:szCs w:val="32"/>
        </w:rPr>
        <w:t>协调算力、数据、</w:t>
      </w:r>
      <w:r>
        <w:rPr>
          <w:rFonts w:hint="eastAsia"/>
          <w:szCs w:val="32"/>
        </w:rPr>
        <w:t>模型</w:t>
      </w:r>
      <w:r>
        <w:rPr>
          <w:szCs w:val="32"/>
        </w:rPr>
        <w:t>、场景等要素资源</w:t>
      </w:r>
      <w:r>
        <w:rPr>
          <w:rFonts w:hint="eastAsia"/>
          <w:szCs w:val="32"/>
        </w:rPr>
        <w:t>，</w:t>
      </w:r>
      <w:r>
        <w:rPr>
          <w:szCs w:val="32"/>
        </w:rPr>
        <w:t>支持</w:t>
      </w:r>
      <w:r>
        <w:rPr>
          <w:rFonts w:hint="eastAsia"/>
          <w:szCs w:val="32"/>
        </w:rPr>
        <w:t>创新联合体建设发展。</w:t>
      </w:r>
    </w:p>
    <w:p w14:paraId="6C7AF118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第六条 </w:t>
      </w:r>
      <w:r>
        <w:rPr>
          <w:szCs w:val="32"/>
        </w:rPr>
        <w:t>省直有关部门、山西转型综改示范区管委会</w:t>
      </w:r>
      <w:r>
        <w:rPr>
          <w:rFonts w:hint="eastAsia"/>
          <w:szCs w:val="32"/>
        </w:rPr>
        <w:t>、</w:t>
      </w:r>
      <w:r>
        <w:rPr>
          <w:szCs w:val="32"/>
        </w:rPr>
        <w:t>各市发展改革部门是创新联合体的主管部门，主要</w:t>
      </w:r>
      <w:r>
        <w:rPr>
          <w:rFonts w:hint="eastAsia"/>
          <w:szCs w:val="32"/>
        </w:rPr>
        <w:t>负责</w:t>
      </w:r>
      <w:r>
        <w:rPr>
          <w:szCs w:val="32"/>
        </w:rPr>
        <w:t xml:space="preserve">： </w:t>
      </w:r>
    </w:p>
    <w:p w14:paraId="3C5EDB25">
      <w:pPr>
        <w:ind w:firstLine="640"/>
        <w:rPr>
          <w:szCs w:val="32"/>
        </w:rPr>
      </w:pPr>
      <w:r>
        <w:rPr>
          <w:rFonts w:hint="eastAsia"/>
          <w:szCs w:val="32"/>
        </w:rPr>
        <w:t>（一）</w:t>
      </w:r>
      <w:r>
        <w:rPr>
          <w:szCs w:val="32"/>
        </w:rPr>
        <w:t>组织本</w:t>
      </w:r>
      <w:r>
        <w:rPr>
          <w:rFonts w:hint="eastAsia"/>
          <w:szCs w:val="32"/>
        </w:rPr>
        <w:t>领域</w:t>
      </w:r>
      <w:r>
        <w:rPr>
          <w:szCs w:val="32"/>
        </w:rPr>
        <w:t>、本地区创新联合体的培育、推荐和日常管理，督促协调落实建设条件</w:t>
      </w:r>
      <w:r>
        <w:rPr>
          <w:rFonts w:hint="eastAsia"/>
          <w:szCs w:val="32"/>
        </w:rPr>
        <w:t>；</w:t>
      </w:r>
    </w:p>
    <w:p w14:paraId="28958F7F">
      <w:pPr>
        <w:ind w:firstLine="640"/>
        <w:rPr>
          <w:szCs w:val="32"/>
        </w:rPr>
      </w:pPr>
      <w:r>
        <w:rPr>
          <w:rFonts w:hint="eastAsia"/>
          <w:szCs w:val="32"/>
          <w:lang w:val="en"/>
        </w:rPr>
        <w:t>（二）</w:t>
      </w:r>
      <w:r>
        <w:rPr>
          <w:szCs w:val="32"/>
        </w:rPr>
        <w:t>对创新联合体建设运行情况进行监督，配合做好运行评价</w:t>
      </w:r>
      <w:r>
        <w:rPr>
          <w:rFonts w:hint="eastAsia"/>
          <w:szCs w:val="32"/>
        </w:rPr>
        <w:t>、审计、检查</w:t>
      </w:r>
      <w:r>
        <w:rPr>
          <w:szCs w:val="32"/>
        </w:rPr>
        <w:t>等工作。</w:t>
      </w:r>
    </w:p>
    <w:p w14:paraId="498D2878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第七条 </w:t>
      </w:r>
      <w:r>
        <w:rPr>
          <w:szCs w:val="32"/>
        </w:rPr>
        <w:t>创新联合体牵头单位是建设运行的责任主体，主要</w:t>
      </w:r>
      <w:r>
        <w:rPr>
          <w:rFonts w:hint="eastAsia"/>
          <w:szCs w:val="32"/>
        </w:rPr>
        <w:t>负责</w:t>
      </w:r>
      <w:r>
        <w:rPr>
          <w:szCs w:val="32"/>
        </w:rPr>
        <w:t xml:space="preserve">： </w:t>
      </w:r>
    </w:p>
    <w:p w14:paraId="2BDF5A70">
      <w:pPr>
        <w:ind w:firstLine="640"/>
        <w:rPr>
          <w:szCs w:val="32"/>
        </w:rPr>
      </w:pPr>
      <w:r>
        <w:rPr>
          <w:rFonts w:hint="eastAsia"/>
          <w:szCs w:val="32"/>
        </w:rPr>
        <w:t>（一）</w:t>
      </w:r>
      <w:r>
        <w:rPr>
          <w:szCs w:val="32"/>
        </w:rPr>
        <w:t>牵头编制创新联合体</w:t>
      </w:r>
      <w:r>
        <w:rPr>
          <w:rFonts w:hint="eastAsia"/>
          <w:szCs w:val="32"/>
        </w:rPr>
        <w:t>申报材料</w:t>
      </w:r>
      <w:r>
        <w:rPr>
          <w:szCs w:val="32"/>
        </w:rPr>
        <w:t xml:space="preserve">，对申报材料真实性负责，按要求推进各项建设任务； </w:t>
      </w:r>
    </w:p>
    <w:p w14:paraId="186E2339">
      <w:pPr>
        <w:ind w:firstLine="640"/>
        <w:rPr>
          <w:szCs w:val="32"/>
        </w:rPr>
      </w:pPr>
      <w:r>
        <w:rPr>
          <w:rFonts w:hint="eastAsia"/>
          <w:szCs w:val="32"/>
        </w:rPr>
        <w:t>（二）</w:t>
      </w:r>
      <w:r>
        <w:rPr>
          <w:szCs w:val="32"/>
        </w:rPr>
        <w:t>落实创新联合体建设与运行条件，筹措建设和运行经费，保障创新联合体</w:t>
      </w:r>
      <w:r>
        <w:rPr>
          <w:rFonts w:hint="eastAsia"/>
          <w:szCs w:val="32"/>
        </w:rPr>
        <w:t>顺利建设和</w:t>
      </w:r>
      <w:r>
        <w:rPr>
          <w:szCs w:val="32"/>
        </w:rPr>
        <w:t xml:space="preserve">正常运行； </w:t>
      </w:r>
    </w:p>
    <w:p w14:paraId="410E225B">
      <w:pPr>
        <w:ind w:firstLine="640"/>
        <w:rPr>
          <w:szCs w:val="32"/>
        </w:rPr>
      </w:pPr>
      <w:r>
        <w:rPr>
          <w:rFonts w:hint="eastAsia"/>
          <w:szCs w:val="32"/>
        </w:rPr>
        <w:t>（三）</w:t>
      </w:r>
      <w:r>
        <w:rPr>
          <w:szCs w:val="32"/>
        </w:rPr>
        <w:t xml:space="preserve">组织成员单位承担联合攻关任务，推动成果转化和场景落地，为行业提供开放服务； </w:t>
      </w:r>
    </w:p>
    <w:p w14:paraId="0943D54E">
      <w:pPr>
        <w:ind w:firstLine="640"/>
        <w:rPr>
          <w:szCs w:val="32"/>
        </w:rPr>
      </w:pPr>
      <w:r>
        <w:rPr>
          <w:szCs w:val="32"/>
        </w:rPr>
        <w:t>（四）按照要求向主管部门报送建设运行情况、评价材料。</w:t>
      </w:r>
    </w:p>
    <w:p w14:paraId="5CCB3002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申报与</w:t>
      </w:r>
      <w:r>
        <w:rPr>
          <w:rFonts w:hint="eastAsia" w:eastAsia="黑体"/>
          <w:szCs w:val="32"/>
        </w:rPr>
        <w:t>认定</w:t>
      </w:r>
    </w:p>
    <w:p w14:paraId="060768AE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第八条 </w:t>
      </w:r>
      <w:r>
        <w:rPr>
          <w:szCs w:val="32"/>
        </w:rPr>
        <w:t>申报创新联合体应具备以下基本条件：</w:t>
      </w:r>
    </w:p>
    <w:p w14:paraId="6A8D5C89">
      <w:pPr>
        <w:widowControl/>
        <w:ind w:firstLine="640"/>
        <w:rPr>
          <w:szCs w:val="32"/>
        </w:rPr>
      </w:pPr>
      <w:r>
        <w:rPr>
          <w:szCs w:val="32"/>
        </w:rPr>
        <w:t>（一）牵头单位</w:t>
      </w:r>
    </w:p>
    <w:p w14:paraId="4EDC517D">
      <w:pPr>
        <w:widowControl/>
        <w:ind w:firstLine="640"/>
        <w:rPr>
          <w:szCs w:val="32"/>
        </w:rPr>
      </w:pPr>
      <w:r>
        <w:rPr>
          <w:szCs w:val="32"/>
        </w:rPr>
        <w:t>1.在山西省内注册的独立法人单位，具有独立法人资格；</w:t>
      </w:r>
    </w:p>
    <w:p w14:paraId="4BA84F98">
      <w:pPr>
        <w:widowControl/>
        <w:ind w:firstLine="640"/>
        <w:rPr>
          <w:szCs w:val="32"/>
        </w:rPr>
      </w:pPr>
      <w:r>
        <w:rPr>
          <w:szCs w:val="32"/>
        </w:rPr>
        <w:t>2.具备较强行业影响力，在本行业中居于国内或省内主导地位；</w:t>
      </w:r>
    </w:p>
    <w:p w14:paraId="391AD084">
      <w:pPr>
        <w:widowControl/>
        <w:ind w:firstLine="640"/>
        <w:rPr>
          <w:szCs w:val="32"/>
        </w:rPr>
      </w:pPr>
      <w:r>
        <w:rPr>
          <w:szCs w:val="32"/>
        </w:rPr>
        <w:t>3.研发实力突出，近三年研发经费投入不少于2000万元；</w:t>
      </w:r>
    </w:p>
    <w:p w14:paraId="5B455EC4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4</w:t>
      </w:r>
      <w:r>
        <w:rPr>
          <w:szCs w:val="32"/>
        </w:rPr>
        <w:t>.协同创新能力强，能够聚集上下游创新资源。</w:t>
      </w:r>
    </w:p>
    <w:p w14:paraId="7715E655">
      <w:pPr>
        <w:widowControl/>
        <w:ind w:firstLine="640"/>
        <w:rPr>
          <w:szCs w:val="32"/>
        </w:rPr>
      </w:pPr>
      <w:r>
        <w:rPr>
          <w:szCs w:val="32"/>
        </w:rPr>
        <w:t>（二）成员单位</w:t>
      </w:r>
    </w:p>
    <w:p w14:paraId="1257C615">
      <w:pPr>
        <w:widowControl/>
        <w:ind w:firstLine="640"/>
        <w:rPr>
          <w:szCs w:val="32"/>
        </w:rPr>
      </w:pPr>
      <w:r>
        <w:rPr>
          <w:szCs w:val="32"/>
        </w:rPr>
        <w:t>与牵头单位在技术研发、成果转化、标准制定、产业合作等方面具备合作基础和合作意愿</w:t>
      </w:r>
      <w:r>
        <w:rPr>
          <w:rFonts w:hint="eastAsia"/>
          <w:szCs w:val="32"/>
        </w:rPr>
        <w:t>。</w:t>
      </w:r>
    </w:p>
    <w:p w14:paraId="415BE63E">
      <w:pPr>
        <w:widowControl/>
        <w:ind w:firstLine="640"/>
        <w:rPr>
          <w:szCs w:val="32"/>
        </w:rPr>
      </w:pPr>
      <w:r>
        <w:rPr>
          <w:szCs w:val="32"/>
        </w:rPr>
        <w:t>（</w:t>
      </w:r>
      <w:r>
        <w:rPr>
          <w:rFonts w:hint="eastAsia"/>
          <w:szCs w:val="32"/>
        </w:rPr>
        <w:t>三</w:t>
      </w:r>
      <w:r>
        <w:rPr>
          <w:szCs w:val="32"/>
        </w:rPr>
        <w:t>）其他要求</w:t>
      </w:r>
    </w:p>
    <w:p w14:paraId="308EE9AE">
      <w:pPr>
        <w:widowControl/>
        <w:ind w:firstLine="640"/>
        <w:rPr>
          <w:szCs w:val="32"/>
        </w:rPr>
      </w:pPr>
      <w:r>
        <w:rPr>
          <w:szCs w:val="32"/>
        </w:rPr>
        <w:t>1.创新联合体应覆盖人工智能全产业链条，至少包括1家省内行业龙头企业，1家大模型相关企业，1家高校或科研院所</w:t>
      </w:r>
      <w:r>
        <w:rPr>
          <w:rFonts w:hint="eastAsia"/>
          <w:szCs w:val="32"/>
        </w:rPr>
        <w:t>；</w:t>
      </w:r>
    </w:p>
    <w:p w14:paraId="0A2E2526">
      <w:pPr>
        <w:widowControl/>
        <w:ind w:firstLine="640"/>
        <w:rPr>
          <w:szCs w:val="32"/>
        </w:rPr>
      </w:pPr>
      <w:r>
        <w:rPr>
          <w:szCs w:val="32"/>
        </w:rPr>
        <w:t>2.</w:t>
      </w:r>
      <w:r>
        <w:rPr>
          <w:rFonts w:hint="eastAsia"/>
          <w:szCs w:val="32"/>
        </w:rPr>
        <w:t>牵头单位、成员</w:t>
      </w:r>
      <w:r>
        <w:rPr>
          <w:szCs w:val="32"/>
        </w:rPr>
        <w:t>单位应签署协议，协议中应有明确的目标任务和分工</w:t>
      </w:r>
      <w:r>
        <w:rPr>
          <w:rFonts w:hint="eastAsia"/>
          <w:szCs w:val="32"/>
        </w:rPr>
        <w:t>；</w:t>
      </w:r>
    </w:p>
    <w:p w14:paraId="5DA6BCBF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3.</w:t>
      </w:r>
      <w:r>
        <w:rPr>
          <w:szCs w:val="32"/>
        </w:rPr>
        <w:t>创新联合体应建立有效的决策与执行机制，定期共同商讨重大事项</w:t>
      </w:r>
      <w:r>
        <w:rPr>
          <w:rFonts w:hint="eastAsia"/>
          <w:szCs w:val="32"/>
        </w:rPr>
        <w:t>；</w:t>
      </w:r>
    </w:p>
    <w:p w14:paraId="08B0AFBC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4</w:t>
      </w:r>
      <w:r>
        <w:rPr>
          <w:szCs w:val="32"/>
        </w:rPr>
        <w:t>.</w:t>
      </w:r>
      <w:r>
        <w:rPr>
          <w:rFonts w:hint="eastAsia"/>
          <w:szCs w:val="32"/>
        </w:rPr>
        <w:t>牵头单位、成员</w:t>
      </w:r>
      <w:r>
        <w:rPr>
          <w:szCs w:val="32"/>
        </w:rPr>
        <w:t>单位应具备良好的诚信状况，无在惩戒执行期内的失信行为记录和相关社会领域信用“黑名单”记录</w:t>
      </w:r>
      <w:r>
        <w:rPr>
          <w:rFonts w:hint="eastAsia"/>
          <w:szCs w:val="32"/>
        </w:rPr>
        <w:t>；</w:t>
      </w:r>
    </w:p>
    <w:p w14:paraId="6B2701A2">
      <w:pPr>
        <w:ind w:firstLine="640"/>
        <w:rPr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szCs w:val="32"/>
        </w:rPr>
        <w:t>第九条</w:t>
      </w:r>
      <w:r>
        <w:rPr>
          <w:rFonts w:hint="eastAsia"/>
          <w:szCs w:val="32"/>
        </w:rPr>
        <w:t xml:space="preserve"> </w:t>
      </w:r>
      <w:r>
        <w:rPr>
          <w:szCs w:val="32"/>
        </w:rPr>
        <w:t>创新联合体采用虚拟形式组建运行，</w:t>
      </w:r>
      <w:r>
        <w:rPr>
          <w:rFonts w:hint="eastAsia"/>
          <w:szCs w:val="32"/>
        </w:rPr>
        <w:t>应</w:t>
      </w:r>
      <w:r>
        <w:rPr>
          <w:szCs w:val="32"/>
        </w:rPr>
        <w:t>在人、财、物管理上保持清晰边界，评价指标数据能够独立核算、有据可查。</w:t>
      </w:r>
    </w:p>
    <w:p w14:paraId="349561E0">
      <w:pPr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第十条 </w:t>
      </w:r>
      <w:r>
        <w:rPr>
          <w:szCs w:val="32"/>
        </w:rPr>
        <w:t>创新联合体申报</w:t>
      </w:r>
      <w:r>
        <w:rPr>
          <w:rFonts w:hint="eastAsia"/>
          <w:szCs w:val="32"/>
        </w:rPr>
        <w:t>认定</w:t>
      </w:r>
      <w:r>
        <w:rPr>
          <w:szCs w:val="32"/>
        </w:rPr>
        <w:t xml:space="preserve">程序： </w:t>
      </w:r>
    </w:p>
    <w:p w14:paraId="1E350136">
      <w:pPr>
        <w:widowControl/>
        <w:ind w:firstLine="640"/>
        <w:rPr>
          <w:rFonts w:ascii="仿宋_GB2312" w:hAnsi="仿宋_GB2312" w:cs="仿宋_GB2312"/>
          <w:szCs w:val="32"/>
        </w:rPr>
      </w:pPr>
      <w:r>
        <w:rPr>
          <w:szCs w:val="32"/>
        </w:rPr>
        <w:t>（一）</w:t>
      </w:r>
      <w:r>
        <w:rPr>
          <w:rFonts w:ascii="仿宋_GB2312" w:hAnsi="仿宋_GB2312" w:cs="仿宋_GB2312"/>
          <w:szCs w:val="32"/>
        </w:rPr>
        <w:t>创新联合体</w:t>
      </w:r>
      <w:r>
        <w:rPr>
          <w:rFonts w:hint="eastAsia" w:ascii="仿宋_GB2312" w:hAnsi="仿宋_GB2312" w:cs="仿宋_GB2312"/>
          <w:szCs w:val="32"/>
        </w:rPr>
        <w:t>申报单位按照申报通知和有关文件要求编制申报书、签订</w:t>
      </w:r>
      <w:r>
        <w:rPr>
          <w:szCs w:val="32"/>
        </w:rPr>
        <w:t>创新联合体组建协议</w:t>
      </w:r>
      <w:r>
        <w:rPr>
          <w:rFonts w:hint="eastAsia"/>
          <w:szCs w:val="32"/>
        </w:rPr>
        <w:t>，由牵头单位将申报材料报送主管部门，提出申请；</w:t>
      </w:r>
    </w:p>
    <w:p w14:paraId="70C7015A">
      <w:pPr>
        <w:widowControl/>
        <w:ind w:firstLine="640"/>
        <w:rPr>
          <w:szCs w:val="32"/>
        </w:rPr>
      </w:pPr>
      <w:r>
        <w:rPr>
          <w:szCs w:val="32"/>
        </w:rPr>
        <w:t>（二）</w:t>
      </w:r>
      <w:r>
        <w:rPr>
          <w:rFonts w:hint="eastAsia"/>
          <w:szCs w:val="32"/>
        </w:rPr>
        <w:t>主管部门按照</w:t>
      </w:r>
      <w:r>
        <w:rPr>
          <w:rFonts w:hint="eastAsia" w:ascii="仿宋_GB2312" w:hAnsi="仿宋_GB2312" w:cs="仿宋_GB2312"/>
          <w:szCs w:val="32"/>
        </w:rPr>
        <w:t>申报通知和有关文件要求</w:t>
      </w:r>
      <w:r>
        <w:rPr>
          <w:rFonts w:hint="eastAsia"/>
          <w:szCs w:val="32"/>
        </w:rPr>
        <w:t>，采取适当方式对申报材料进行初审，将符合条件的申报材料向省发展改革委推荐；</w:t>
      </w:r>
    </w:p>
    <w:p w14:paraId="355552F9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（三）</w:t>
      </w:r>
      <w:r>
        <w:rPr>
          <w:szCs w:val="32"/>
        </w:rPr>
        <w:t>省发展改革委</w:t>
      </w:r>
      <w:r>
        <w:rPr>
          <w:rFonts w:hint="eastAsia"/>
          <w:szCs w:val="32"/>
        </w:rPr>
        <w:t>根据主管部门推荐，</w:t>
      </w:r>
      <w:r>
        <w:rPr>
          <w:szCs w:val="32"/>
        </w:rPr>
        <w:t>委托第三方机构</w:t>
      </w:r>
      <w:r>
        <w:rPr>
          <w:rFonts w:hint="eastAsia"/>
          <w:szCs w:val="32"/>
        </w:rPr>
        <w:t>对申报材料进行评审</w:t>
      </w:r>
      <w:r>
        <w:rPr>
          <w:szCs w:val="32"/>
        </w:rPr>
        <w:t>。</w:t>
      </w:r>
      <w:r>
        <w:rPr>
          <w:rFonts w:hint="eastAsia"/>
          <w:szCs w:val="32"/>
        </w:rPr>
        <w:t>评审</w:t>
      </w:r>
      <w:r>
        <w:rPr>
          <w:szCs w:val="32"/>
        </w:rPr>
        <w:t>过程中</w:t>
      </w:r>
      <w:r>
        <w:rPr>
          <w:rFonts w:hint="eastAsia"/>
          <w:szCs w:val="32"/>
        </w:rPr>
        <w:t>，</w:t>
      </w:r>
      <w:r>
        <w:rPr>
          <w:szCs w:val="32"/>
        </w:rPr>
        <w:t>可要求</w:t>
      </w:r>
      <w:r>
        <w:rPr>
          <w:rFonts w:hint="eastAsia" w:ascii="仿宋_GB2312" w:hAnsi="仿宋_GB2312" w:cs="仿宋_GB2312"/>
          <w:szCs w:val="32"/>
        </w:rPr>
        <w:t>申报单位</w:t>
      </w:r>
      <w:r>
        <w:rPr>
          <w:szCs w:val="32"/>
        </w:rPr>
        <w:t>就有关问题进行说明</w:t>
      </w:r>
      <w:r>
        <w:rPr>
          <w:rFonts w:hint="eastAsia"/>
          <w:szCs w:val="32"/>
        </w:rPr>
        <w:t>、补充材料；</w:t>
      </w:r>
    </w:p>
    <w:p w14:paraId="4657CA90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（四）省发展改革委会同有关方面根据评审结果综合研究后，对拟认定的</w:t>
      </w:r>
      <w:r>
        <w:rPr>
          <w:szCs w:val="32"/>
        </w:rPr>
        <w:t>创新联合体进行公示，公示无异议的，由省发展改革委</w:t>
      </w:r>
      <w:r>
        <w:rPr>
          <w:rFonts w:hint="eastAsia"/>
          <w:szCs w:val="32"/>
        </w:rPr>
        <w:t>会同有关方面发布</w:t>
      </w:r>
      <w:r>
        <w:rPr>
          <w:szCs w:val="32"/>
        </w:rPr>
        <w:t>创新联合体</w:t>
      </w:r>
      <w:r>
        <w:rPr>
          <w:rFonts w:hint="eastAsia"/>
          <w:szCs w:val="32"/>
        </w:rPr>
        <w:t>名单</w:t>
      </w:r>
      <w:r>
        <w:rPr>
          <w:szCs w:val="32"/>
        </w:rPr>
        <w:t>。</w:t>
      </w:r>
    </w:p>
    <w:p w14:paraId="2DD5CA8A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运行评价</w:t>
      </w:r>
    </w:p>
    <w:p w14:paraId="7348512F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第十</w:t>
      </w:r>
      <w:r>
        <w:rPr>
          <w:rFonts w:hint="eastAsia" w:ascii="楷体_GB2312" w:hAnsi="楷体_GB2312" w:eastAsia="楷体_GB2312" w:cs="楷体_GB2312"/>
          <w:szCs w:val="32"/>
        </w:rPr>
        <w:t>一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创新联合体实行优胜劣汰、动态调整的运行评价制度。省发展改革委</w:t>
      </w:r>
      <w:r>
        <w:rPr>
          <w:rFonts w:hint="eastAsia"/>
          <w:szCs w:val="32"/>
        </w:rPr>
        <w:t>会同有关方面</w:t>
      </w:r>
      <w:r>
        <w:rPr>
          <w:szCs w:val="32"/>
        </w:rPr>
        <w:t>原则上每</w:t>
      </w:r>
      <w:r>
        <w:rPr>
          <w:rFonts w:hint="eastAsia"/>
          <w:szCs w:val="32"/>
        </w:rPr>
        <w:t>2</w:t>
      </w:r>
      <w:r>
        <w:rPr>
          <w:szCs w:val="32"/>
        </w:rPr>
        <w:t>年对已</w:t>
      </w:r>
      <w:r>
        <w:rPr>
          <w:rFonts w:hint="eastAsia"/>
          <w:szCs w:val="32"/>
        </w:rPr>
        <w:t>认定</w:t>
      </w:r>
      <w:r>
        <w:rPr>
          <w:szCs w:val="32"/>
        </w:rPr>
        <w:t>的创新联合体开展一次集中评价。新</w:t>
      </w:r>
      <w:r>
        <w:rPr>
          <w:rFonts w:hint="eastAsia"/>
          <w:szCs w:val="32"/>
        </w:rPr>
        <w:t>认定</w:t>
      </w:r>
      <w:r>
        <w:rPr>
          <w:szCs w:val="32"/>
        </w:rPr>
        <w:t>的创新联合体不参加当年的集中评价。</w:t>
      </w:r>
    </w:p>
    <w:p w14:paraId="5CF68728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第十</w:t>
      </w:r>
      <w:r>
        <w:rPr>
          <w:rFonts w:hint="eastAsia" w:ascii="楷体_GB2312" w:hAnsi="楷体_GB2312" w:eastAsia="楷体_GB2312" w:cs="楷体_GB2312"/>
          <w:szCs w:val="32"/>
        </w:rPr>
        <w:t>二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评价工作按照以下程序开展： </w:t>
      </w:r>
    </w:p>
    <w:p w14:paraId="53301842">
      <w:pPr>
        <w:widowControl/>
        <w:ind w:firstLine="640"/>
        <w:rPr>
          <w:szCs w:val="32"/>
        </w:rPr>
      </w:pPr>
      <w:r>
        <w:rPr>
          <w:szCs w:val="32"/>
        </w:rPr>
        <w:t>（一）数据采集：创新联合体按照评价通知要求，编制自评价报告</w:t>
      </w:r>
      <w:r>
        <w:rPr>
          <w:rFonts w:hint="eastAsia"/>
          <w:szCs w:val="32"/>
        </w:rPr>
        <w:t>、准备</w:t>
      </w:r>
      <w:r>
        <w:rPr>
          <w:szCs w:val="32"/>
        </w:rPr>
        <w:t>相关证明材料</w:t>
      </w:r>
      <w:r>
        <w:rPr>
          <w:rFonts w:hint="eastAsia"/>
          <w:szCs w:val="32"/>
        </w:rPr>
        <w:t>、</w:t>
      </w:r>
      <w:r>
        <w:rPr>
          <w:szCs w:val="32"/>
        </w:rPr>
        <w:t>签署真实性承诺书，</w:t>
      </w:r>
      <w:r>
        <w:rPr>
          <w:rFonts w:hint="eastAsia"/>
          <w:szCs w:val="32"/>
        </w:rPr>
        <w:t>并将评价材料</w:t>
      </w:r>
      <w:r>
        <w:rPr>
          <w:szCs w:val="32"/>
        </w:rPr>
        <w:t>报送主管部门</w:t>
      </w:r>
      <w:r>
        <w:rPr>
          <w:rFonts w:hint="eastAsia"/>
          <w:szCs w:val="32"/>
        </w:rPr>
        <w:t>；</w:t>
      </w:r>
    </w:p>
    <w:p w14:paraId="443B5D01">
      <w:pPr>
        <w:widowControl/>
        <w:ind w:firstLine="640"/>
        <w:rPr>
          <w:szCs w:val="32"/>
        </w:rPr>
      </w:pPr>
      <w:r>
        <w:rPr>
          <w:szCs w:val="32"/>
        </w:rPr>
        <w:t>（二）数据初审：主管</w:t>
      </w:r>
      <w:r>
        <w:rPr>
          <w:rFonts w:hint="eastAsia"/>
          <w:szCs w:val="32"/>
        </w:rPr>
        <w:t>部门</w:t>
      </w:r>
      <w:r>
        <w:rPr>
          <w:szCs w:val="32"/>
        </w:rPr>
        <w:t>对创新联合体报送的评价材料进行核实，出具审查意见后报送省发展改革委</w:t>
      </w:r>
      <w:r>
        <w:rPr>
          <w:rFonts w:hint="eastAsia"/>
          <w:szCs w:val="32"/>
        </w:rPr>
        <w:t>；</w:t>
      </w:r>
    </w:p>
    <w:p w14:paraId="394FF8E4">
      <w:pPr>
        <w:widowControl/>
        <w:ind w:firstLine="640"/>
        <w:rPr>
          <w:szCs w:val="32"/>
        </w:rPr>
      </w:pPr>
      <w:r>
        <w:rPr>
          <w:szCs w:val="32"/>
        </w:rPr>
        <w:t>（三）数据核实：省发展改革委委托第三方机构对评价材料及相关情况进行核实，按照</w:t>
      </w:r>
      <w:r>
        <w:rPr>
          <w:rFonts w:hint="eastAsia"/>
          <w:szCs w:val="32"/>
        </w:rPr>
        <w:t>评价通知要求</w:t>
      </w:r>
      <w:r>
        <w:rPr>
          <w:szCs w:val="32"/>
        </w:rPr>
        <w:t>开展评价，形成评价结果</w:t>
      </w:r>
      <w:r>
        <w:rPr>
          <w:rFonts w:hint="eastAsia"/>
          <w:szCs w:val="32"/>
        </w:rPr>
        <w:t>；</w:t>
      </w:r>
    </w:p>
    <w:p w14:paraId="6DA321F2">
      <w:pPr>
        <w:widowControl/>
        <w:ind w:firstLine="640"/>
        <w:rPr>
          <w:szCs w:val="32"/>
        </w:rPr>
      </w:pPr>
      <w:r>
        <w:rPr>
          <w:szCs w:val="32"/>
        </w:rPr>
        <w:t>（四）结果确认：省发展改革委</w:t>
      </w:r>
      <w:r>
        <w:rPr>
          <w:rFonts w:hint="eastAsia"/>
          <w:szCs w:val="32"/>
        </w:rPr>
        <w:t>会同有关方面</w:t>
      </w:r>
      <w:r>
        <w:rPr>
          <w:szCs w:val="32"/>
        </w:rPr>
        <w:t>对评价结果进行确认，并向主管</w:t>
      </w:r>
      <w:r>
        <w:rPr>
          <w:rFonts w:hint="eastAsia"/>
          <w:szCs w:val="32"/>
        </w:rPr>
        <w:t>部门</w:t>
      </w:r>
      <w:r>
        <w:rPr>
          <w:szCs w:val="32"/>
        </w:rPr>
        <w:t xml:space="preserve">进行通报。 </w:t>
      </w:r>
    </w:p>
    <w:p w14:paraId="55A87043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第十</w:t>
      </w:r>
      <w:r>
        <w:rPr>
          <w:rFonts w:hint="eastAsia" w:ascii="楷体_GB2312" w:hAnsi="楷体_GB2312" w:eastAsia="楷体_GB2312" w:cs="楷体_GB2312"/>
          <w:szCs w:val="32"/>
        </w:rPr>
        <w:t>三</w:t>
      </w:r>
      <w:r>
        <w:rPr>
          <w:rFonts w:ascii="楷体_GB2312" w:hAnsi="楷体_GB2312" w:eastAsia="楷体_GB2312" w:cs="楷体_GB2312"/>
          <w:szCs w:val="32"/>
        </w:rPr>
        <w:t xml:space="preserve">条 </w:t>
      </w:r>
      <w:r>
        <w:rPr>
          <w:szCs w:val="32"/>
        </w:rPr>
        <w:t>评价结果分为优秀、良好、合格、</w:t>
      </w:r>
      <w:r>
        <w:rPr>
          <w:rFonts w:hint="eastAsia"/>
          <w:szCs w:val="32"/>
        </w:rPr>
        <w:t>不</w:t>
      </w:r>
      <w:r>
        <w:rPr>
          <w:szCs w:val="32"/>
        </w:rPr>
        <w:t>合格</w:t>
      </w:r>
      <w:r>
        <w:rPr>
          <w:rFonts w:hint="eastAsia"/>
          <w:szCs w:val="32"/>
        </w:rPr>
        <w:t>四</w:t>
      </w:r>
      <w:r>
        <w:rPr>
          <w:szCs w:val="32"/>
        </w:rPr>
        <w:t>个等次。对评价结果为不合格的创新联合体，给予1年整改期，由主管</w:t>
      </w:r>
      <w:r>
        <w:rPr>
          <w:rFonts w:hint="eastAsia"/>
          <w:szCs w:val="32"/>
        </w:rPr>
        <w:t>部门</w:t>
      </w:r>
      <w:r>
        <w:rPr>
          <w:szCs w:val="32"/>
        </w:rPr>
        <w:t>负责督促整改</w:t>
      </w:r>
      <w:r>
        <w:rPr>
          <w:rFonts w:hint="eastAsia"/>
          <w:szCs w:val="32"/>
        </w:rPr>
        <w:t>，</w:t>
      </w:r>
      <w:r>
        <w:rPr>
          <w:szCs w:val="32"/>
        </w:rPr>
        <w:t>整改期满后重新参加评价，仍不合格的</w:t>
      </w:r>
      <w:r>
        <w:rPr>
          <w:rFonts w:hint="eastAsia"/>
          <w:szCs w:val="32"/>
        </w:rPr>
        <w:t>从</w:t>
      </w:r>
      <w:r>
        <w:rPr>
          <w:szCs w:val="32"/>
        </w:rPr>
        <w:t>创新联合体</w:t>
      </w:r>
      <w:r>
        <w:rPr>
          <w:rFonts w:hint="eastAsia"/>
          <w:szCs w:val="32"/>
        </w:rPr>
        <w:t>名单移除</w:t>
      </w:r>
      <w:r>
        <w:rPr>
          <w:szCs w:val="32"/>
        </w:rPr>
        <w:t>。</w:t>
      </w:r>
    </w:p>
    <w:p w14:paraId="0B8DA29B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支持政策</w:t>
      </w:r>
    </w:p>
    <w:p w14:paraId="703EA2C2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十四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项目资金支持。对创新联合体开展的创新能力提升和应用场景建设项目，符合条件的</w:t>
      </w:r>
      <w:r>
        <w:rPr>
          <w:rFonts w:hint="eastAsia"/>
          <w:szCs w:val="32"/>
        </w:rPr>
        <w:t>按规定予以</w:t>
      </w:r>
      <w:r>
        <w:rPr>
          <w:szCs w:val="32"/>
        </w:rPr>
        <w:t>省</w:t>
      </w:r>
      <w:r>
        <w:rPr>
          <w:rFonts w:hint="eastAsia"/>
          <w:szCs w:val="32"/>
        </w:rPr>
        <w:t>级预算内资金</w:t>
      </w:r>
      <w:r>
        <w:rPr>
          <w:szCs w:val="32"/>
        </w:rPr>
        <w:t>支持。</w:t>
      </w:r>
    </w:p>
    <w:p w14:paraId="6E321D8C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十五</w:t>
      </w:r>
      <w:r>
        <w:rPr>
          <w:rFonts w:ascii="楷体_GB2312" w:hAnsi="楷体_GB2312" w:eastAsia="楷体_GB2312" w:cs="楷体_GB2312"/>
          <w:szCs w:val="32"/>
        </w:rPr>
        <w:t xml:space="preserve">条 </w:t>
      </w:r>
      <w:r>
        <w:rPr>
          <w:szCs w:val="32"/>
        </w:rPr>
        <w:t>算力资源支持。统筹省内算力资源，</w:t>
      </w:r>
      <w:r>
        <w:rPr>
          <w:rFonts w:hint="eastAsia"/>
          <w:szCs w:val="32"/>
        </w:rPr>
        <w:t>通过“算力券”等形式，</w:t>
      </w:r>
      <w:r>
        <w:rPr>
          <w:szCs w:val="32"/>
        </w:rPr>
        <w:t>对创新联合体的模型训练和推理给予优惠算力支持。</w:t>
      </w:r>
    </w:p>
    <w:p w14:paraId="3A39A17F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十六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数据要素支持。支持创新联合体参与行业数据治理和数据要素市场化配置改革，在符合数据安全和隐私保护</w:t>
      </w:r>
      <w:r>
        <w:rPr>
          <w:rFonts w:hint="eastAsia"/>
          <w:szCs w:val="32"/>
        </w:rPr>
        <w:t>等</w:t>
      </w:r>
      <w:r>
        <w:rPr>
          <w:szCs w:val="32"/>
        </w:rPr>
        <w:t>前提下，依规开放相关数据资源用于行业模型训练。</w:t>
      </w:r>
    </w:p>
    <w:p w14:paraId="44B9AEFD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十七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应用场景支持。优先向创新联合体开放</w:t>
      </w:r>
      <w:r>
        <w:rPr>
          <w:rFonts w:hint="eastAsia"/>
          <w:szCs w:val="32"/>
        </w:rPr>
        <w:t>有关</w:t>
      </w:r>
      <w:r>
        <w:rPr>
          <w:szCs w:val="32"/>
        </w:rPr>
        <w:t>应用场景，支持创新联合体成果在省内重点项目、重点企业中先行先试。推荐创新联合体优秀成果申报国家</w:t>
      </w:r>
      <w:r>
        <w:rPr>
          <w:rFonts w:hint="eastAsia"/>
          <w:szCs w:val="32"/>
        </w:rPr>
        <w:t>和省级</w:t>
      </w:r>
      <w:r>
        <w:rPr>
          <w:szCs w:val="32"/>
        </w:rPr>
        <w:t>人工智能应用典型案例。</w:t>
      </w:r>
    </w:p>
    <w:p w14:paraId="6DB78C71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监督管理</w:t>
      </w:r>
    </w:p>
    <w:p w14:paraId="179776C9">
      <w:pPr>
        <w:widowControl/>
        <w:ind w:firstLine="640"/>
      </w:pPr>
      <w:r>
        <w:rPr>
          <w:rFonts w:ascii="楷体_GB2312" w:hAnsi="楷体_GB2312" w:eastAsia="楷体_GB2312" w:cs="楷体_GB2312"/>
          <w:szCs w:val="32"/>
        </w:rPr>
        <w:t>第十</w:t>
      </w:r>
      <w:r>
        <w:rPr>
          <w:rFonts w:hint="eastAsia" w:ascii="楷体_GB2312" w:hAnsi="楷体_GB2312" w:eastAsia="楷体_GB2312" w:cs="楷体_GB2312"/>
          <w:szCs w:val="32"/>
        </w:rPr>
        <w:t>八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创新联合体成员单位变更等重大事项，应</w:t>
      </w:r>
      <w:r>
        <w:rPr>
          <w:rFonts w:hint="eastAsia"/>
          <w:szCs w:val="32"/>
        </w:rPr>
        <w:t>先</w:t>
      </w:r>
      <w:r>
        <w:rPr>
          <w:szCs w:val="32"/>
        </w:rPr>
        <w:t>通过主管</w:t>
      </w:r>
      <w:r>
        <w:rPr>
          <w:rFonts w:hint="eastAsia"/>
          <w:szCs w:val="32"/>
        </w:rPr>
        <w:t>部门</w:t>
      </w:r>
      <w:r>
        <w:rPr>
          <w:szCs w:val="32"/>
        </w:rPr>
        <w:t>提交变更申请，经省发展改革委</w:t>
      </w:r>
      <w:r>
        <w:rPr>
          <w:rFonts w:hint="eastAsia"/>
          <w:szCs w:val="32"/>
        </w:rPr>
        <w:t>会同有关方面</w:t>
      </w:r>
      <w:r>
        <w:rPr>
          <w:szCs w:val="32"/>
        </w:rPr>
        <w:t xml:space="preserve">审核同意后方可实施。 </w:t>
      </w:r>
    </w:p>
    <w:p w14:paraId="687527E4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十九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主管</w:t>
      </w:r>
      <w:r>
        <w:rPr>
          <w:rFonts w:hint="eastAsia"/>
          <w:szCs w:val="32"/>
        </w:rPr>
        <w:t>部门</w:t>
      </w:r>
      <w:r>
        <w:rPr>
          <w:szCs w:val="32"/>
        </w:rPr>
        <w:t>应加强对本</w:t>
      </w:r>
      <w:r>
        <w:rPr>
          <w:rFonts w:hint="eastAsia"/>
          <w:szCs w:val="32"/>
        </w:rPr>
        <w:t>领域</w:t>
      </w:r>
      <w:r>
        <w:rPr>
          <w:szCs w:val="32"/>
        </w:rPr>
        <w:t>、本地区创新联合体的日常监督管理，配合做好统计、监测分析和评价等工作，对报送材料和数据的真实性承担核实责任</w:t>
      </w:r>
      <w:r>
        <w:rPr>
          <w:rFonts w:hint="eastAsia"/>
          <w:szCs w:val="32"/>
        </w:rPr>
        <w:t>，确保真实可靠</w:t>
      </w:r>
      <w:r>
        <w:rPr>
          <w:szCs w:val="32"/>
        </w:rPr>
        <w:t>。</w:t>
      </w:r>
    </w:p>
    <w:p w14:paraId="0945DB6A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 xml:space="preserve">第二十条 </w:t>
      </w:r>
      <w:r>
        <w:rPr>
          <w:szCs w:val="32"/>
        </w:rPr>
        <w:t>创新联合体有下列情形之一的，省发展改革委</w:t>
      </w:r>
      <w:r>
        <w:rPr>
          <w:rFonts w:hint="eastAsia"/>
          <w:szCs w:val="32"/>
        </w:rPr>
        <w:t>会同有关方面</w:t>
      </w:r>
      <w:r>
        <w:rPr>
          <w:szCs w:val="32"/>
        </w:rPr>
        <w:t>直接</w:t>
      </w:r>
      <w:r>
        <w:rPr>
          <w:rFonts w:hint="eastAsia"/>
          <w:szCs w:val="32"/>
        </w:rPr>
        <w:t>从</w:t>
      </w:r>
      <w:r>
        <w:rPr>
          <w:szCs w:val="32"/>
        </w:rPr>
        <w:t>创新联合体</w:t>
      </w:r>
      <w:r>
        <w:rPr>
          <w:rFonts w:hint="eastAsia"/>
          <w:szCs w:val="32"/>
        </w:rPr>
        <w:t>名单中移除</w:t>
      </w:r>
      <w:r>
        <w:rPr>
          <w:szCs w:val="32"/>
        </w:rPr>
        <w:t xml:space="preserve">： </w:t>
      </w:r>
    </w:p>
    <w:p w14:paraId="22D8743D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（一）集中</w:t>
      </w:r>
      <w:r>
        <w:rPr>
          <w:szCs w:val="32"/>
        </w:rPr>
        <w:t xml:space="preserve">评价不合格，且1年整改期满后评价仍不合格的； </w:t>
      </w:r>
    </w:p>
    <w:p w14:paraId="6ABD65CB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（二）牵头单位发生变更的；</w:t>
      </w:r>
    </w:p>
    <w:p w14:paraId="20EA638A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（三）</w:t>
      </w:r>
      <w:r>
        <w:rPr>
          <w:szCs w:val="32"/>
        </w:rPr>
        <w:t>未经同意逾期不报送评价材料、不配合评价；</w:t>
      </w:r>
    </w:p>
    <w:p w14:paraId="4BA86B4C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（四）</w:t>
      </w:r>
      <w:r>
        <w:rPr>
          <w:szCs w:val="32"/>
        </w:rPr>
        <w:t xml:space="preserve">提供虚假材料和数据，情节严重的； </w:t>
      </w:r>
    </w:p>
    <w:p w14:paraId="2BC36BA4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（五）</w:t>
      </w:r>
      <w:r>
        <w:rPr>
          <w:szCs w:val="32"/>
        </w:rPr>
        <w:t xml:space="preserve">发生重大质量、安全事故，造成恶劣影响的； </w:t>
      </w:r>
    </w:p>
    <w:p w14:paraId="40275CAF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（六）</w:t>
      </w:r>
      <w:r>
        <w:rPr>
          <w:szCs w:val="32"/>
        </w:rPr>
        <w:t xml:space="preserve">因严重违法失信行为被列入联合惩戒对象名单的； </w:t>
      </w:r>
    </w:p>
    <w:p w14:paraId="368A513B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（七）</w:t>
      </w:r>
      <w:r>
        <w:rPr>
          <w:szCs w:val="32"/>
        </w:rPr>
        <w:t xml:space="preserve">牵头单位依法终止或无法履行职责的； </w:t>
      </w:r>
    </w:p>
    <w:p w14:paraId="0E798822">
      <w:pPr>
        <w:widowControl/>
        <w:ind w:firstLine="640"/>
        <w:rPr>
          <w:szCs w:val="32"/>
        </w:rPr>
      </w:pPr>
      <w:r>
        <w:rPr>
          <w:rFonts w:hint="eastAsia"/>
          <w:szCs w:val="32"/>
        </w:rPr>
        <w:t>（八）</w:t>
      </w:r>
      <w:r>
        <w:rPr>
          <w:szCs w:val="32"/>
        </w:rPr>
        <w:t>其他违反法律法规和政策规定，造成严重不良影响的。</w:t>
      </w:r>
    </w:p>
    <w:p w14:paraId="06B6E267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第二十</w:t>
      </w:r>
      <w:r>
        <w:rPr>
          <w:rFonts w:hint="eastAsia" w:ascii="楷体_GB2312" w:hAnsi="楷体_GB2312" w:eastAsia="楷体_GB2312" w:cs="楷体_GB2312"/>
          <w:szCs w:val="32"/>
        </w:rPr>
        <w:t>一</w:t>
      </w:r>
      <w:r>
        <w:rPr>
          <w:rFonts w:ascii="楷体_GB2312" w:hAnsi="楷体_GB2312" w:eastAsia="楷体_GB2312" w:cs="楷体_GB2312"/>
          <w:szCs w:val="32"/>
        </w:rPr>
        <w:t xml:space="preserve">条 </w:t>
      </w:r>
      <w:r>
        <w:rPr>
          <w:szCs w:val="32"/>
        </w:rPr>
        <w:t>从名单中</w:t>
      </w:r>
      <w:r>
        <w:rPr>
          <w:rFonts w:hint="eastAsia"/>
          <w:szCs w:val="32"/>
        </w:rPr>
        <w:t>被</w:t>
      </w:r>
      <w:r>
        <w:rPr>
          <w:szCs w:val="32"/>
        </w:rPr>
        <w:t>移除的创新联合体，</w:t>
      </w:r>
      <w:r>
        <w:rPr>
          <w:rFonts w:hint="eastAsia"/>
          <w:szCs w:val="32"/>
        </w:rPr>
        <w:t>牵头单位3</w:t>
      </w:r>
      <w:r>
        <w:rPr>
          <w:szCs w:val="32"/>
        </w:rPr>
        <w:t>年内不得再次申报。</w:t>
      </w:r>
    </w:p>
    <w:p w14:paraId="1CF7A7AC">
      <w:pPr>
        <w:numPr>
          <w:ilvl w:val="0"/>
          <w:numId w:val="1"/>
        </w:numPr>
        <w:adjustRightInd/>
        <w:snapToGrid/>
        <w:spacing w:before="156" w:beforeLines="50" w:after="156" w:afterLines="50"/>
        <w:ind w:firstLine="640" w:firstLineChars="0"/>
        <w:jc w:val="center"/>
        <w:rPr>
          <w:szCs w:val="32"/>
        </w:rPr>
      </w:pPr>
      <w:r>
        <w:rPr>
          <w:rFonts w:hint="eastAsia" w:eastAsia="黑体"/>
          <w:szCs w:val="32"/>
        </w:rPr>
        <w:t xml:space="preserve"> 附</w:t>
      </w:r>
      <w:r>
        <w:rPr>
          <w:rFonts w:eastAsia="黑体"/>
          <w:szCs w:val="32"/>
        </w:rPr>
        <w:t xml:space="preserve"> 则</w:t>
      </w:r>
    </w:p>
    <w:p w14:paraId="08CC18A0">
      <w:pPr>
        <w:widowControl/>
        <w:ind w:firstLine="640"/>
        <w:rPr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 xml:space="preserve">第二十二条 </w:t>
      </w:r>
      <w:r>
        <w:rPr>
          <w:rFonts w:hint="eastAsia"/>
          <w:szCs w:val="32"/>
        </w:rPr>
        <w:t>山西省“人工智能+”行业创新联合体</w:t>
      </w:r>
      <w:r>
        <w:rPr>
          <w:szCs w:val="32"/>
        </w:rPr>
        <w:t>统一命名为：山西省 “人工智能+XX</w:t>
      </w:r>
      <w:r>
        <w:rPr>
          <w:rFonts w:hint="eastAsia"/>
          <w:szCs w:val="32"/>
        </w:rPr>
        <w:t>X</w:t>
      </w:r>
      <w:r>
        <w:rPr>
          <w:szCs w:val="32"/>
        </w:rPr>
        <w:t>”创新联合体。</w:t>
      </w:r>
    </w:p>
    <w:p w14:paraId="793FD10C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二十三</w:t>
      </w:r>
      <w:r>
        <w:rPr>
          <w:rFonts w:ascii="楷体_GB2312" w:hAnsi="楷体_GB2312" w:eastAsia="楷体_GB2312" w:cs="楷体_GB2312"/>
          <w:szCs w:val="32"/>
        </w:rPr>
        <w:t>条</w:t>
      </w:r>
      <w:r>
        <w:rPr>
          <w:szCs w:val="32"/>
        </w:rPr>
        <w:t xml:space="preserve"> 本办法由</w:t>
      </w:r>
      <w:r>
        <w:rPr>
          <w:rFonts w:hint="eastAsia"/>
          <w:szCs w:val="32"/>
        </w:rPr>
        <w:t>山西</w:t>
      </w:r>
      <w:r>
        <w:rPr>
          <w:szCs w:val="32"/>
        </w:rPr>
        <w:t>省发展和改革委员会负责解释。</w:t>
      </w:r>
    </w:p>
    <w:p w14:paraId="19E436E8">
      <w:pPr>
        <w:widowControl/>
        <w:ind w:firstLine="640"/>
        <w:rPr>
          <w:szCs w:val="32"/>
        </w:rPr>
      </w:pPr>
      <w:r>
        <w:rPr>
          <w:rFonts w:ascii="楷体_GB2312" w:hAnsi="楷体_GB2312" w:eastAsia="楷体_GB2312" w:cs="楷体_GB2312"/>
          <w:szCs w:val="32"/>
        </w:rPr>
        <w:t>第</w:t>
      </w:r>
      <w:r>
        <w:rPr>
          <w:rFonts w:hint="eastAsia" w:ascii="楷体_GB2312" w:hAnsi="楷体_GB2312" w:eastAsia="楷体_GB2312" w:cs="楷体_GB2312"/>
          <w:szCs w:val="32"/>
        </w:rPr>
        <w:t>二十四</w:t>
      </w:r>
      <w:r>
        <w:rPr>
          <w:rFonts w:ascii="楷体_GB2312" w:hAnsi="楷体_GB2312" w:eastAsia="楷体_GB2312" w:cs="楷体_GB2312"/>
          <w:szCs w:val="32"/>
        </w:rPr>
        <w:t xml:space="preserve">条 </w:t>
      </w:r>
      <w:r>
        <w:rPr>
          <w:szCs w:val="32"/>
        </w:rPr>
        <w:t>本办法自发布之日起施行</w:t>
      </w:r>
      <w:r>
        <w:rPr>
          <w:rFonts w:hint="eastAsia"/>
          <w:szCs w:val="32"/>
        </w:rPr>
        <w:t>，有效期5年</w:t>
      </w:r>
      <w:r>
        <w:rPr>
          <w:szCs w:val="32"/>
        </w:rPr>
        <w:t>。</w:t>
      </w:r>
    </w:p>
    <w:p w14:paraId="5469CDD9">
      <w:pPr>
        <w:ind w:firstLine="640"/>
        <w:rPr>
          <w:rFonts w:eastAsia="黑体"/>
          <w:szCs w:val="32"/>
        </w:rPr>
      </w:pPr>
    </w:p>
    <w:p w14:paraId="70E45A15">
      <w:pPr>
        <w:ind w:firstLine="0" w:firstLineChars="0"/>
      </w:pPr>
    </w:p>
    <w:p w14:paraId="4249C60F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682FA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53DE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7FD0E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93187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5C285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0711F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D83254"/>
    <w:multiLevelType w:val="singleLevel"/>
    <w:tmpl w:val="8CD83254"/>
    <w:lvl w:ilvl="0" w:tentative="0">
      <w:start w:val="1"/>
      <w:numFmt w:val="chineseCounting"/>
      <w:suff w:val="space"/>
      <w:lvlText w:val="第%1章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752A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8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ind w:firstLine="0" w:firstLineChars="0"/>
      <w:jc w:val="center"/>
      <w:outlineLvl w:val="0"/>
    </w:pPr>
    <w:rPr>
      <w:rFonts w:eastAsia="方正小标宋简体" w:cs="Times New Roman"/>
      <w:bCs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2026-08-03T09:53:08Z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