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现将</w:t>
      </w:r>
      <w:r>
        <w:rPr>
          <w:rFonts w:hint="eastAsia" w:ascii="仿宋_GB2312" w:hAnsi="仿宋_GB2312" w:eastAsia="仿宋_GB2312" w:cs="仿宋_GB2312"/>
          <w:sz w:val="32"/>
          <w:szCs w:val="32"/>
        </w:rPr>
        <w:t>《山西省加快场景培育和开放推动新场景大规模应用行动方案（征求意见稿）》起草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说明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起草</w:t>
      </w:r>
      <w:r>
        <w:rPr>
          <w:rFonts w:hint="eastAsia" w:ascii="黑体" w:hAnsi="黑体" w:eastAsia="黑体" w:cs="黑体"/>
          <w:sz w:val="32"/>
          <w:szCs w:val="32"/>
        </w:rPr>
        <w:t>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国务院办公厅《关于加快场景培育和开放推动新场景大规模应用的实施意见》（国办发〔2025〕37号），落实省委、省政府培育先进应用场景工作部署，发挥场景对科技创新和产业创新的牵引作用，立足我省能源、制造、文旅等资源禀赋，打通技术突破到产业落地转化链条，助力发展新质生产力，研究起草本行动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</w:rPr>
        <w:t>二、起草过程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对照国家提出的场景培育开放重点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任务，结合我省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各领域工作发展实际，在前期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面向各行业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领域征集应用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场景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项目工作基础上，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主动对接各行业主管部门，就场景培育拓展、场景供需对接、多元主体协同共建、要素保障等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方面研提政策举措</w:t>
      </w:r>
      <w:r>
        <w:rPr>
          <w:rFonts w:hint="eastAsia" w:ascii="仿宋_GB2312" w:hAnsi="仿宋_GB2312" w:eastAsia="仿宋_GB2312" w:cs="仿宋_GB2312"/>
          <w:sz w:val="32"/>
          <w:szCs w:val="32"/>
        </w:rPr>
        <w:t>，形成本次征求意见稿。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案共分为四大部分。第一部分明确总体要求，确定工作原则，提出构建场景创新生态体系总体目标。第二部分实施全领域场景培育拓展行动，分5个板块部署23项具体场景任务，覆盖新领域新赛道、产业转型升级、重点行业、社会治理、民生服务各个领域。第三部分从供需对接、多元主体协同、载体建设三个方面夯实场景创新基础支撑。第四部分从要素协同、公平配置、制度创新、资金支持、组织机制等方面强化政策保障，建立跨部门协调机制，落实容错免责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公平市场准入</w:t>
      </w:r>
      <w:r>
        <w:rPr>
          <w:rFonts w:hint="eastAsia" w:ascii="仿宋_GB2312" w:hAnsi="仿宋_GB2312" w:eastAsia="仿宋_GB2312" w:cs="仿宋_GB2312"/>
          <w:sz w:val="32"/>
          <w:szCs w:val="32"/>
        </w:rPr>
        <w:t>等改革举措，充分激发各类市场主体参与场景建设的活力。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下一步，我们将根据本次公开征求意见收集到的意见建议，对方案进一步修改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，按规定程序报审后印发实施。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3491D"/>
    <w:rsid w:val="0ECEC22A"/>
    <w:rsid w:val="5DD3491D"/>
    <w:rsid w:val="77F654C6"/>
    <w:rsid w:val="7E7F2562"/>
    <w:rsid w:val="FABF4796"/>
    <w:rsid w:val="FE5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2026-09-03T09:41:00Z</dcterms:created>
  <dc:creator>2418</dc:creator>
  <cp:lastModifiedBy>2418</cp:lastModifiedBy>
  <cp:lastPrinted>2026-09-03T10:22:53Z</cp:lastPrinted>
  <dcterms:modified xsi:type="dcterms:W3CDTF">2026-09-03T10:35:31Z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</Properties>
</file>