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6E935">
      <w:pPr>
        <w:spacing w:line="600" w:lineRule="exact"/>
        <w:jc w:val="left"/>
        <w:rPr>
          <w:rFonts w:hint="eastAsia"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1</w:t>
      </w:r>
    </w:p>
    <w:p w14:paraId="6EC60A4F">
      <w:pPr>
        <w:spacing w:line="600" w:lineRule="exact"/>
        <w:jc w:val="left"/>
        <w:rPr>
          <w:rFonts w:hint="eastAsia" w:ascii="Times New Roman" w:hAnsi="Times New Roman" w:eastAsia="黑体"/>
          <w:sz w:val="32"/>
          <w:szCs w:val="32"/>
          <w:lang w:val="en-US" w:eastAsia="zh-CN"/>
        </w:rPr>
      </w:pPr>
    </w:p>
    <w:p w14:paraId="4BC532BA">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B0C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8801B3C">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35EAE7A">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2B2251B5">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3875459E">
            <w:pPr>
              <w:jc w:val="center"/>
              <w:rPr>
                <w:rFonts w:ascii="Times New Roman" w:hAnsi="Times New Roman"/>
                <w:sz w:val="28"/>
                <w:szCs w:val="28"/>
              </w:rPr>
            </w:pPr>
            <w:r>
              <w:rPr>
                <w:rFonts w:hint="eastAsia" w:ascii="Times New Roman" w:hAnsi="Times New Roman" w:eastAsia="仿宋_GB2312"/>
                <w:sz w:val="28"/>
                <w:szCs w:val="28"/>
              </w:rPr>
              <w:t>香菇液体菌种果木基料化栽培技术规程</w:t>
            </w:r>
          </w:p>
        </w:tc>
      </w:tr>
      <w:tr w14:paraId="0A1B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611FA48B">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w:t>
            </w:r>
          </w:p>
        </w:tc>
        <w:tc>
          <w:tcPr>
            <w:tcW w:w="1951" w:type="dxa"/>
            <w:vMerge w:val="restart"/>
            <w:noWrap w:val="0"/>
            <w:vAlign w:val="center"/>
          </w:tcPr>
          <w:p w14:paraId="7EE69705">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ZJ2026026</w:t>
            </w:r>
          </w:p>
        </w:tc>
        <w:tc>
          <w:tcPr>
            <w:tcW w:w="2607" w:type="dxa"/>
            <w:noWrap w:val="0"/>
            <w:vAlign w:val="center"/>
          </w:tcPr>
          <w:p w14:paraId="2CEBEA90">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D5C9C39">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43B1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894" w:type="dxa"/>
            <w:vMerge w:val="continue"/>
            <w:noWrap w:val="0"/>
            <w:vAlign w:val="center"/>
          </w:tcPr>
          <w:p w14:paraId="688E708C">
            <w:pPr>
              <w:jc w:val="center"/>
              <w:rPr>
                <w:rFonts w:ascii="Times New Roman" w:hAnsi="Times New Roman"/>
                <w:sz w:val="28"/>
                <w:szCs w:val="28"/>
              </w:rPr>
            </w:pPr>
          </w:p>
        </w:tc>
        <w:tc>
          <w:tcPr>
            <w:tcW w:w="1951" w:type="dxa"/>
            <w:vMerge w:val="continue"/>
            <w:noWrap w:val="0"/>
            <w:vAlign w:val="center"/>
          </w:tcPr>
          <w:p w14:paraId="65E282C5">
            <w:pPr>
              <w:jc w:val="center"/>
              <w:rPr>
                <w:rFonts w:ascii="Times New Roman" w:hAnsi="Times New Roman"/>
                <w:sz w:val="28"/>
                <w:szCs w:val="28"/>
              </w:rPr>
            </w:pPr>
          </w:p>
        </w:tc>
        <w:tc>
          <w:tcPr>
            <w:tcW w:w="2607" w:type="dxa"/>
            <w:noWrap w:val="0"/>
            <w:vAlign w:val="center"/>
          </w:tcPr>
          <w:p w14:paraId="045A355C">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4ABA43D8">
            <w:pPr>
              <w:jc w:val="center"/>
              <w:rPr>
                <w:rFonts w:hint="eastAsia" w:ascii="Times New Roman" w:hAnsi="Times New Roman" w:eastAsia="仿宋_GB2312"/>
                <w:sz w:val="28"/>
                <w:szCs w:val="28"/>
                <w:lang w:eastAsia="zh-CN"/>
              </w:rPr>
            </w:pPr>
            <w:r>
              <w:rPr>
                <w:rFonts w:hint="eastAsia" w:ascii="Times New Roman" w:hAnsi="Times New Roman" w:eastAsia="仿宋_GB2312"/>
                <w:sz w:val="28"/>
                <w:szCs w:val="28"/>
                <w:lang w:eastAsia="zh-CN"/>
              </w:rPr>
              <w:t>山西省农业农村厅</w:t>
            </w:r>
          </w:p>
        </w:tc>
      </w:tr>
      <w:tr w14:paraId="5EE7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774E7978">
            <w:pPr>
              <w:jc w:val="center"/>
              <w:rPr>
                <w:rFonts w:ascii="Times New Roman" w:hAnsi="Times New Roman"/>
                <w:sz w:val="28"/>
                <w:szCs w:val="28"/>
              </w:rPr>
            </w:pPr>
          </w:p>
        </w:tc>
        <w:tc>
          <w:tcPr>
            <w:tcW w:w="1951" w:type="dxa"/>
            <w:vMerge w:val="continue"/>
            <w:noWrap w:val="0"/>
            <w:vAlign w:val="center"/>
          </w:tcPr>
          <w:p w14:paraId="0037ABBB">
            <w:pPr>
              <w:jc w:val="center"/>
              <w:rPr>
                <w:rFonts w:ascii="Times New Roman" w:hAnsi="Times New Roman"/>
                <w:sz w:val="28"/>
                <w:szCs w:val="28"/>
              </w:rPr>
            </w:pPr>
          </w:p>
        </w:tc>
        <w:tc>
          <w:tcPr>
            <w:tcW w:w="2607" w:type="dxa"/>
            <w:noWrap w:val="0"/>
            <w:vAlign w:val="center"/>
          </w:tcPr>
          <w:p w14:paraId="28FC04F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DE73F8A">
            <w:r>
              <w:rPr>
                <w:rFonts w:hint="eastAsia" w:ascii="仿宋_GB2312" w:hAnsi="仿宋_GB2312" w:eastAsia="仿宋_GB2312" w:cs="仿宋_GB2312"/>
                <w:sz w:val="24"/>
                <w:szCs w:val="24"/>
              </w:rPr>
              <w:t>本标准主要规范以苹果、梨、桃等果木枝条为栽培基质、采用液体菌种开展香菇袋料栽培的全过程生产工艺，旨在保障菌种质量、推动果木废弃物资源化高效利用。重点解决传统固体菌种培育周期长、活力不均、污染率高、难以机械化接种，液体菌种质量管控不稳定，以及果木基质预处理、配方配比、发酵管护等生产环节不规范的行业突出问题。</w:t>
            </w:r>
          </w:p>
        </w:tc>
      </w:tr>
      <w:tr w14:paraId="18F8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258715B3">
            <w:pPr>
              <w:jc w:val="center"/>
              <w:rPr>
                <w:rFonts w:ascii="Times New Roman" w:hAnsi="Times New Roman"/>
                <w:sz w:val="28"/>
                <w:szCs w:val="28"/>
              </w:rPr>
            </w:pPr>
          </w:p>
        </w:tc>
        <w:tc>
          <w:tcPr>
            <w:tcW w:w="1951" w:type="dxa"/>
            <w:vMerge w:val="continue"/>
            <w:noWrap w:val="0"/>
            <w:vAlign w:val="center"/>
          </w:tcPr>
          <w:p w14:paraId="4C974818">
            <w:pPr>
              <w:jc w:val="center"/>
              <w:rPr>
                <w:rFonts w:ascii="Times New Roman" w:hAnsi="Times New Roman"/>
                <w:sz w:val="28"/>
                <w:szCs w:val="28"/>
              </w:rPr>
            </w:pPr>
          </w:p>
        </w:tc>
        <w:tc>
          <w:tcPr>
            <w:tcW w:w="2607" w:type="dxa"/>
            <w:noWrap w:val="0"/>
            <w:vAlign w:val="center"/>
          </w:tcPr>
          <w:p w14:paraId="2CC72DF7">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C2C89BE">
            <w:r>
              <w:rPr>
                <w:rFonts w:hint="eastAsia" w:ascii="仿宋_GB2312" w:hAnsi="仿宋_GB2312" w:eastAsia="仿宋_GB2312" w:cs="仿宋_GB2312"/>
                <w:sz w:val="24"/>
                <w:szCs w:val="24"/>
                <w:lang w:eastAsia="zh-CN"/>
              </w:rPr>
              <w:t>起草</w:t>
            </w:r>
            <w:r>
              <w:rPr>
                <w:rFonts w:hint="eastAsia" w:ascii="仿宋_GB2312" w:hAnsi="仿宋_GB2312" w:eastAsia="仿宋_GB2312" w:cs="仿宋_GB2312"/>
                <w:sz w:val="24"/>
                <w:szCs w:val="24"/>
              </w:rPr>
              <w:t>团队涵盖食用菌栽培、农业微生物、农业废弃物资源化利用、标准化研究等专业领域。</w:t>
            </w:r>
            <w:r>
              <w:rPr>
                <w:rFonts w:hint="eastAsia" w:ascii="仿宋_GB2312" w:hAnsi="仿宋_GB2312" w:eastAsia="仿宋_GB2312" w:cs="仿宋_GB2312"/>
                <w:sz w:val="24"/>
                <w:szCs w:val="24"/>
                <w:lang w:val="en-US" w:eastAsia="zh-CN"/>
              </w:rPr>
              <w:t>主要</w:t>
            </w:r>
            <w:r>
              <w:rPr>
                <w:rFonts w:hint="eastAsia" w:ascii="仿宋_GB2312" w:hAnsi="仿宋_GB2312" w:eastAsia="仿宋_GB2312" w:cs="仿宋_GB2312"/>
                <w:sz w:val="24"/>
                <w:szCs w:val="24"/>
              </w:rPr>
              <w:t>起草单位</w:t>
            </w:r>
            <w:r>
              <w:rPr>
                <w:rFonts w:hint="eastAsia" w:ascii="仿宋_GB2312" w:hAnsi="仿宋_GB2312" w:eastAsia="仿宋_GB2312" w:cs="仿宋_GB2312"/>
                <w:sz w:val="24"/>
                <w:szCs w:val="24"/>
                <w:lang w:val="en-US" w:eastAsia="zh-CN"/>
              </w:rPr>
              <w:t>应</w:t>
            </w:r>
            <w:r>
              <w:rPr>
                <w:rFonts w:hint="eastAsia" w:ascii="仿宋_GB2312" w:hAnsi="仿宋_GB2312" w:eastAsia="仿宋_GB2312" w:cs="仿宋_GB2312"/>
                <w:sz w:val="24"/>
                <w:szCs w:val="24"/>
              </w:rPr>
              <w:t>长期开展食用菌育种、栽培及技术推广工作；主要起草人</w:t>
            </w:r>
            <w:r>
              <w:rPr>
                <w:rFonts w:hint="eastAsia" w:ascii="仿宋_GB2312" w:hAnsi="仿宋_GB2312" w:eastAsia="仿宋_GB2312" w:cs="仿宋_GB2312"/>
                <w:sz w:val="24"/>
                <w:szCs w:val="24"/>
                <w:lang w:val="en-US" w:eastAsia="zh-CN"/>
              </w:rPr>
              <w:t>应</w:t>
            </w:r>
            <w:r>
              <w:rPr>
                <w:rFonts w:hint="eastAsia" w:ascii="仿宋_GB2312" w:hAnsi="仿宋_GB2312" w:eastAsia="仿宋_GB2312" w:cs="仿宋_GB2312"/>
                <w:sz w:val="24"/>
                <w:szCs w:val="24"/>
              </w:rPr>
              <w:t>拥有多年食用菌研究经验，主持或参与过省部级科研项目。同时吸纳基层农技推广人员、规模化种植户共同参与，提升标准实操性与适用性。</w:t>
            </w:r>
          </w:p>
        </w:tc>
      </w:tr>
    </w:tbl>
    <w:p w14:paraId="2783B150">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962"/>
        <w:gridCol w:w="2621"/>
        <w:gridCol w:w="8676"/>
      </w:tblGrid>
      <w:tr w14:paraId="6FF8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99" w:type="dxa"/>
            <w:noWrap w:val="0"/>
            <w:vAlign w:val="center"/>
          </w:tcPr>
          <w:p w14:paraId="4F0DC639">
            <w:pPr>
              <w:jc w:val="center"/>
              <w:rPr>
                <w:rFonts w:ascii="Times New Roman" w:hAnsi="Times New Roman" w:eastAsia="黑体"/>
                <w:sz w:val="28"/>
                <w:szCs w:val="28"/>
              </w:rPr>
            </w:pPr>
            <w:r>
              <w:rPr>
                <w:rFonts w:ascii="Times New Roman" w:hAnsi="Times New Roman" w:eastAsia="黑体"/>
                <w:sz w:val="28"/>
                <w:szCs w:val="28"/>
              </w:rPr>
              <w:t>序号</w:t>
            </w:r>
          </w:p>
        </w:tc>
        <w:tc>
          <w:tcPr>
            <w:tcW w:w="1962" w:type="dxa"/>
            <w:noWrap w:val="0"/>
            <w:vAlign w:val="center"/>
          </w:tcPr>
          <w:p w14:paraId="1942F9CC">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21" w:type="dxa"/>
            <w:noWrap w:val="0"/>
            <w:vAlign w:val="center"/>
          </w:tcPr>
          <w:p w14:paraId="5ED9AAFE">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76" w:type="dxa"/>
            <w:noWrap w:val="0"/>
            <w:vAlign w:val="center"/>
          </w:tcPr>
          <w:p w14:paraId="601BDAA4">
            <w:pPr>
              <w:jc w:val="center"/>
              <w:rPr>
                <w:rFonts w:ascii="Times New Roman" w:hAnsi="Times New Roman"/>
                <w:sz w:val="28"/>
                <w:szCs w:val="28"/>
              </w:rPr>
            </w:pPr>
            <w:r>
              <w:rPr>
                <w:rFonts w:hint="eastAsia" w:ascii="Times New Roman" w:hAnsi="Times New Roman" w:eastAsia="仿宋_GB2312"/>
                <w:sz w:val="28"/>
                <w:szCs w:val="28"/>
              </w:rPr>
              <w:t>金耳菌种生产技术规程</w:t>
            </w:r>
          </w:p>
        </w:tc>
      </w:tr>
      <w:tr w14:paraId="7A9E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4" w:hRule="atLeast"/>
        </w:trPr>
        <w:tc>
          <w:tcPr>
            <w:tcW w:w="899" w:type="dxa"/>
            <w:vMerge w:val="restart"/>
            <w:noWrap w:val="0"/>
            <w:vAlign w:val="center"/>
          </w:tcPr>
          <w:p w14:paraId="79355D08">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2</w:t>
            </w:r>
          </w:p>
        </w:tc>
        <w:tc>
          <w:tcPr>
            <w:tcW w:w="1962" w:type="dxa"/>
            <w:vMerge w:val="restart"/>
            <w:noWrap w:val="0"/>
            <w:vAlign w:val="center"/>
          </w:tcPr>
          <w:p w14:paraId="2383FE09">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ZJ2026027</w:t>
            </w:r>
          </w:p>
        </w:tc>
        <w:tc>
          <w:tcPr>
            <w:tcW w:w="2621" w:type="dxa"/>
            <w:noWrap w:val="0"/>
            <w:vAlign w:val="center"/>
          </w:tcPr>
          <w:p w14:paraId="30CC2CAA">
            <w:pPr>
              <w:jc w:val="center"/>
              <w:rPr>
                <w:rFonts w:ascii="Times New Roman" w:hAnsi="Times New Roman"/>
                <w:sz w:val="28"/>
                <w:szCs w:val="28"/>
              </w:rPr>
            </w:pPr>
            <w:r>
              <w:rPr>
                <w:rFonts w:ascii="Times New Roman" w:hAnsi="Times New Roman" w:eastAsia="黑体"/>
                <w:sz w:val="28"/>
                <w:szCs w:val="28"/>
              </w:rPr>
              <w:t>标准性质</w:t>
            </w:r>
          </w:p>
        </w:tc>
        <w:tc>
          <w:tcPr>
            <w:tcW w:w="8676" w:type="dxa"/>
            <w:noWrap w:val="0"/>
            <w:vAlign w:val="center"/>
          </w:tcPr>
          <w:p w14:paraId="6295C2E5">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983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899" w:type="dxa"/>
            <w:vMerge w:val="continue"/>
            <w:noWrap w:val="0"/>
            <w:vAlign w:val="center"/>
          </w:tcPr>
          <w:p w14:paraId="46618A44">
            <w:pPr>
              <w:jc w:val="center"/>
              <w:rPr>
                <w:rFonts w:ascii="Times New Roman" w:hAnsi="Times New Roman"/>
                <w:sz w:val="28"/>
                <w:szCs w:val="28"/>
              </w:rPr>
            </w:pPr>
          </w:p>
        </w:tc>
        <w:tc>
          <w:tcPr>
            <w:tcW w:w="1962" w:type="dxa"/>
            <w:vMerge w:val="continue"/>
            <w:noWrap w:val="0"/>
            <w:vAlign w:val="center"/>
          </w:tcPr>
          <w:p w14:paraId="6E6BF892">
            <w:pPr>
              <w:jc w:val="center"/>
              <w:rPr>
                <w:rFonts w:ascii="Times New Roman" w:hAnsi="Times New Roman"/>
                <w:sz w:val="28"/>
                <w:szCs w:val="28"/>
              </w:rPr>
            </w:pPr>
          </w:p>
        </w:tc>
        <w:tc>
          <w:tcPr>
            <w:tcW w:w="2621" w:type="dxa"/>
            <w:noWrap w:val="0"/>
            <w:vAlign w:val="center"/>
          </w:tcPr>
          <w:p w14:paraId="3D1C5B0F">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76" w:type="dxa"/>
            <w:noWrap w:val="0"/>
            <w:vAlign w:val="center"/>
          </w:tcPr>
          <w:p w14:paraId="355640FB">
            <w:pPr>
              <w:jc w:val="center"/>
              <w:rPr>
                <w:rFonts w:hint="eastAsia" w:ascii="Times New Roman" w:hAnsi="Times New Roman" w:eastAsia="仿宋_GB2312"/>
                <w:sz w:val="28"/>
                <w:szCs w:val="28"/>
                <w:lang w:eastAsia="zh-CN"/>
              </w:rPr>
            </w:pPr>
            <w:r>
              <w:rPr>
                <w:rFonts w:hint="eastAsia" w:ascii="Times New Roman" w:hAnsi="Times New Roman" w:eastAsia="仿宋_GB2312"/>
                <w:sz w:val="28"/>
                <w:szCs w:val="28"/>
                <w:lang w:eastAsia="zh-CN"/>
              </w:rPr>
              <w:t>山西省农业农村厅</w:t>
            </w:r>
          </w:p>
        </w:tc>
      </w:tr>
      <w:tr w14:paraId="70A8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9" w:hRule="atLeast"/>
        </w:trPr>
        <w:tc>
          <w:tcPr>
            <w:tcW w:w="899" w:type="dxa"/>
            <w:vMerge w:val="continue"/>
            <w:noWrap w:val="0"/>
            <w:vAlign w:val="center"/>
          </w:tcPr>
          <w:p w14:paraId="07D0DE14">
            <w:pPr>
              <w:jc w:val="center"/>
              <w:rPr>
                <w:rFonts w:ascii="Times New Roman" w:hAnsi="Times New Roman"/>
                <w:sz w:val="28"/>
                <w:szCs w:val="28"/>
              </w:rPr>
            </w:pPr>
          </w:p>
        </w:tc>
        <w:tc>
          <w:tcPr>
            <w:tcW w:w="1962" w:type="dxa"/>
            <w:vMerge w:val="continue"/>
            <w:noWrap w:val="0"/>
            <w:vAlign w:val="center"/>
          </w:tcPr>
          <w:p w14:paraId="6DC235ED">
            <w:pPr>
              <w:jc w:val="center"/>
              <w:rPr>
                <w:rFonts w:ascii="Times New Roman" w:hAnsi="Times New Roman"/>
                <w:sz w:val="28"/>
                <w:szCs w:val="28"/>
              </w:rPr>
            </w:pPr>
          </w:p>
        </w:tc>
        <w:tc>
          <w:tcPr>
            <w:tcW w:w="2621" w:type="dxa"/>
            <w:noWrap w:val="0"/>
            <w:vAlign w:val="center"/>
          </w:tcPr>
          <w:p w14:paraId="74DF4237">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76" w:type="dxa"/>
            <w:noWrap w:val="0"/>
            <w:vAlign w:val="center"/>
          </w:tcPr>
          <w:p w14:paraId="55A2041F">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金耳为山西省特色珍稀食用菌，省内自然分布广泛。本标准从金耳母种、原种、栽培种的生产、检验、包装、贮存与运输等环节予以规范，着力解决菌株来源不清、配比不规范、生产工艺混乱、质量参差不齐等突出问题，推动金耳产业健康稳定发展。</w:t>
            </w:r>
          </w:p>
        </w:tc>
      </w:tr>
      <w:tr w14:paraId="76D3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899" w:type="dxa"/>
            <w:vMerge w:val="continue"/>
            <w:noWrap w:val="0"/>
            <w:vAlign w:val="center"/>
          </w:tcPr>
          <w:p w14:paraId="4BB91791">
            <w:pPr>
              <w:jc w:val="center"/>
              <w:rPr>
                <w:rFonts w:ascii="Times New Roman" w:hAnsi="Times New Roman"/>
                <w:sz w:val="28"/>
                <w:szCs w:val="28"/>
              </w:rPr>
            </w:pPr>
          </w:p>
        </w:tc>
        <w:tc>
          <w:tcPr>
            <w:tcW w:w="1962" w:type="dxa"/>
            <w:vMerge w:val="continue"/>
            <w:noWrap w:val="0"/>
            <w:vAlign w:val="center"/>
          </w:tcPr>
          <w:p w14:paraId="14A6B12B">
            <w:pPr>
              <w:jc w:val="center"/>
              <w:rPr>
                <w:rFonts w:ascii="Times New Roman" w:hAnsi="Times New Roman"/>
                <w:sz w:val="28"/>
                <w:szCs w:val="28"/>
              </w:rPr>
            </w:pPr>
          </w:p>
        </w:tc>
        <w:tc>
          <w:tcPr>
            <w:tcW w:w="2621" w:type="dxa"/>
            <w:noWrap w:val="0"/>
            <w:vAlign w:val="center"/>
          </w:tcPr>
          <w:p w14:paraId="2BBF0DC8">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76" w:type="dxa"/>
            <w:noWrap w:val="0"/>
            <w:vAlign w:val="center"/>
          </w:tcPr>
          <w:p w14:paraId="468E2EA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起草</w:t>
            </w:r>
            <w:r>
              <w:rPr>
                <w:rFonts w:hint="eastAsia" w:ascii="仿宋_GB2312" w:hAnsi="仿宋_GB2312" w:eastAsia="仿宋_GB2312" w:cs="仿宋_GB2312"/>
                <w:sz w:val="24"/>
                <w:szCs w:val="24"/>
              </w:rPr>
              <w:t>团队应涵盖食用菌育种、菌种生产、质量检测、标准化管理等专业领域，具备金耳菌种研究与生产实践经验。</w:t>
            </w:r>
          </w:p>
        </w:tc>
      </w:tr>
    </w:tbl>
    <w:p w14:paraId="292B1A20">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559A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72F29FF">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F2116A6">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0B32A60D">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48511D27">
            <w:pPr>
              <w:jc w:val="center"/>
              <w:rPr>
                <w:rFonts w:ascii="Times New Roman" w:hAnsi="Times New Roman"/>
                <w:sz w:val="28"/>
                <w:szCs w:val="28"/>
              </w:rPr>
            </w:pPr>
            <w:r>
              <w:rPr>
                <w:rFonts w:hint="eastAsia" w:ascii="Times New Roman" w:hAnsi="Times New Roman" w:eastAsia="仿宋_GB2312"/>
                <w:sz w:val="28"/>
                <w:szCs w:val="28"/>
              </w:rPr>
              <w:t>甘蓝栽培技术规程</w:t>
            </w:r>
          </w:p>
        </w:tc>
      </w:tr>
      <w:tr w14:paraId="31DF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0AA15767">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3</w:t>
            </w:r>
          </w:p>
        </w:tc>
        <w:tc>
          <w:tcPr>
            <w:tcW w:w="1951" w:type="dxa"/>
            <w:vMerge w:val="restart"/>
            <w:noWrap w:val="0"/>
            <w:vAlign w:val="center"/>
          </w:tcPr>
          <w:p w14:paraId="7E88D000">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ZJ2026028</w:t>
            </w:r>
          </w:p>
        </w:tc>
        <w:tc>
          <w:tcPr>
            <w:tcW w:w="2607" w:type="dxa"/>
            <w:noWrap w:val="0"/>
            <w:vAlign w:val="center"/>
          </w:tcPr>
          <w:p w14:paraId="398505D0">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721A3F0B">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4D12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83EDF7D">
            <w:pPr>
              <w:jc w:val="center"/>
              <w:rPr>
                <w:rFonts w:ascii="Times New Roman" w:hAnsi="Times New Roman"/>
                <w:sz w:val="28"/>
                <w:szCs w:val="28"/>
              </w:rPr>
            </w:pPr>
          </w:p>
        </w:tc>
        <w:tc>
          <w:tcPr>
            <w:tcW w:w="1951" w:type="dxa"/>
            <w:vMerge w:val="continue"/>
            <w:noWrap w:val="0"/>
            <w:vAlign w:val="center"/>
          </w:tcPr>
          <w:p w14:paraId="5DA5FA0C">
            <w:pPr>
              <w:jc w:val="center"/>
              <w:rPr>
                <w:rFonts w:ascii="Times New Roman" w:hAnsi="Times New Roman"/>
                <w:sz w:val="28"/>
                <w:szCs w:val="28"/>
              </w:rPr>
            </w:pPr>
          </w:p>
        </w:tc>
        <w:tc>
          <w:tcPr>
            <w:tcW w:w="2607" w:type="dxa"/>
            <w:noWrap w:val="0"/>
            <w:vAlign w:val="center"/>
          </w:tcPr>
          <w:p w14:paraId="2B285BAC">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BB10632">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B35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2413470F">
            <w:pPr>
              <w:jc w:val="center"/>
              <w:rPr>
                <w:rFonts w:ascii="Times New Roman" w:hAnsi="Times New Roman"/>
                <w:sz w:val="28"/>
                <w:szCs w:val="28"/>
              </w:rPr>
            </w:pPr>
          </w:p>
        </w:tc>
        <w:tc>
          <w:tcPr>
            <w:tcW w:w="1951" w:type="dxa"/>
            <w:vMerge w:val="continue"/>
            <w:noWrap w:val="0"/>
            <w:vAlign w:val="center"/>
          </w:tcPr>
          <w:p w14:paraId="0042FFC7">
            <w:pPr>
              <w:jc w:val="center"/>
              <w:rPr>
                <w:rFonts w:ascii="Times New Roman" w:hAnsi="Times New Roman"/>
                <w:sz w:val="28"/>
                <w:szCs w:val="28"/>
              </w:rPr>
            </w:pPr>
          </w:p>
        </w:tc>
        <w:tc>
          <w:tcPr>
            <w:tcW w:w="2607" w:type="dxa"/>
            <w:noWrap w:val="0"/>
            <w:vAlign w:val="center"/>
          </w:tcPr>
          <w:p w14:paraId="243BB4B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6CC7AA9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品种选用、产地环境、栽培管理、绿色防控、采收贮运全流程技术要求，统一全省核心生产技术指标，补齐产前产中产后衔接短板，着力解决甘蓝栽培环节与贮运特性脱节、技术标准碎片化、产后损耗居高不下等问题，推动产业从产量型向特优高效型转型。标准研制需突出宜机化、耐贮运等特性的相关技术要求。</w:t>
            </w:r>
          </w:p>
        </w:tc>
      </w:tr>
      <w:tr w14:paraId="4509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894" w:type="dxa"/>
            <w:vMerge w:val="continue"/>
            <w:noWrap w:val="0"/>
            <w:vAlign w:val="center"/>
          </w:tcPr>
          <w:p w14:paraId="340808EE">
            <w:pPr>
              <w:jc w:val="center"/>
              <w:rPr>
                <w:rFonts w:ascii="Times New Roman" w:hAnsi="Times New Roman"/>
                <w:sz w:val="28"/>
                <w:szCs w:val="28"/>
              </w:rPr>
            </w:pPr>
          </w:p>
        </w:tc>
        <w:tc>
          <w:tcPr>
            <w:tcW w:w="1951" w:type="dxa"/>
            <w:vMerge w:val="continue"/>
            <w:noWrap w:val="0"/>
            <w:vAlign w:val="center"/>
          </w:tcPr>
          <w:p w14:paraId="6F146B38">
            <w:pPr>
              <w:jc w:val="center"/>
              <w:rPr>
                <w:rFonts w:ascii="Times New Roman" w:hAnsi="Times New Roman"/>
                <w:sz w:val="28"/>
                <w:szCs w:val="28"/>
              </w:rPr>
            </w:pPr>
          </w:p>
        </w:tc>
        <w:tc>
          <w:tcPr>
            <w:tcW w:w="2607" w:type="dxa"/>
            <w:noWrap w:val="0"/>
            <w:vAlign w:val="center"/>
          </w:tcPr>
          <w:p w14:paraId="6CEF4DA8">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42A490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起草团队应覆盖蔬菜栽培、贮藏保鲜、植物保护、农业标准化等专业领域。</w:t>
            </w:r>
            <w:r>
              <w:rPr>
                <w:rFonts w:hint="eastAsia" w:ascii="仿宋_GB2312" w:hAnsi="仿宋_GB2312" w:eastAsia="仿宋_GB2312" w:cs="仿宋_GB2312"/>
                <w:sz w:val="24"/>
                <w:szCs w:val="24"/>
                <w:lang w:val="en-US" w:eastAsia="zh-CN"/>
              </w:rPr>
              <w:t>起草团队中应有成员</w:t>
            </w:r>
            <w:r>
              <w:rPr>
                <w:rFonts w:hint="eastAsia" w:ascii="仿宋_GB2312" w:hAnsi="仿宋_GB2312" w:eastAsia="仿宋_GB2312" w:cs="仿宋_GB2312"/>
                <w:sz w:val="24"/>
                <w:szCs w:val="24"/>
              </w:rPr>
              <w:t>熟悉山西甘蓝主产区生态条件、生产现状及外销贮运需求，熟练掌握结球甘蓝优质丰产、绿色防控、采后减损等关键技术。同时吸纳基层农技推广与生产一线人员参与。</w:t>
            </w:r>
          </w:p>
        </w:tc>
      </w:tr>
    </w:tbl>
    <w:p w14:paraId="017D3206"/>
    <w:p w14:paraId="27A9BC24"/>
    <w:p w14:paraId="08A4AB84">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568A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4C00A29">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E41E87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7C7E00C0">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0A84420">
            <w:pPr>
              <w:jc w:val="center"/>
              <w:rPr>
                <w:rFonts w:ascii="Times New Roman" w:hAnsi="Times New Roman"/>
                <w:sz w:val="28"/>
                <w:szCs w:val="28"/>
              </w:rPr>
            </w:pPr>
            <w:r>
              <w:rPr>
                <w:rFonts w:hint="eastAsia" w:ascii="Times New Roman" w:hAnsi="Times New Roman" w:eastAsia="仿宋_GB2312"/>
                <w:sz w:val="28"/>
                <w:szCs w:val="28"/>
              </w:rPr>
              <w:t>秋播大蒜栽培技术规程</w:t>
            </w:r>
          </w:p>
        </w:tc>
      </w:tr>
      <w:tr w14:paraId="2BB9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D68467A">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4</w:t>
            </w:r>
          </w:p>
        </w:tc>
        <w:tc>
          <w:tcPr>
            <w:tcW w:w="1951" w:type="dxa"/>
            <w:vMerge w:val="restart"/>
            <w:noWrap w:val="0"/>
            <w:vAlign w:val="center"/>
          </w:tcPr>
          <w:p w14:paraId="17AF4F21">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ZJ2026029</w:t>
            </w:r>
          </w:p>
        </w:tc>
        <w:tc>
          <w:tcPr>
            <w:tcW w:w="2607" w:type="dxa"/>
            <w:noWrap w:val="0"/>
            <w:vAlign w:val="center"/>
          </w:tcPr>
          <w:p w14:paraId="0F9FB1EE">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899E542">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3092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BA583F7">
            <w:pPr>
              <w:jc w:val="center"/>
              <w:rPr>
                <w:rFonts w:ascii="Times New Roman" w:hAnsi="Times New Roman"/>
                <w:sz w:val="28"/>
                <w:szCs w:val="28"/>
              </w:rPr>
            </w:pPr>
          </w:p>
        </w:tc>
        <w:tc>
          <w:tcPr>
            <w:tcW w:w="1951" w:type="dxa"/>
            <w:vMerge w:val="continue"/>
            <w:noWrap w:val="0"/>
            <w:vAlign w:val="center"/>
          </w:tcPr>
          <w:p w14:paraId="23D4D1E5">
            <w:pPr>
              <w:jc w:val="center"/>
              <w:rPr>
                <w:rFonts w:ascii="Times New Roman" w:hAnsi="Times New Roman"/>
                <w:sz w:val="28"/>
                <w:szCs w:val="28"/>
              </w:rPr>
            </w:pPr>
          </w:p>
        </w:tc>
        <w:tc>
          <w:tcPr>
            <w:tcW w:w="2607" w:type="dxa"/>
            <w:noWrap w:val="0"/>
            <w:vAlign w:val="center"/>
          </w:tcPr>
          <w:p w14:paraId="304C4466">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DE27C7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449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894" w:type="dxa"/>
            <w:vMerge w:val="continue"/>
            <w:noWrap w:val="0"/>
            <w:vAlign w:val="center"/>
          </w:tcPr>
          <w:p w14:paraId="263F7D0C">
            <w:pPr>
              <w:jc w:val="center"/>
              <w:rPr>
                <w:rFonts w:ascii="Times New Roman" w:hAnsi="Times New Roman"/>
                <w:sz w:val="28"/>
                <w:szCs w:val="28"/>
              </w:rPr>
            </w:pPr>
          </w:p>
        </w:tc>
        <w:tc>
          <w:tcPr>
            <w:tcW w:w="1951" w:type="dxa"/>
            <w:vMerge w:val="continue"/>
            <w:noWrap w:val="0"/>
            <w:vAlign w:val="center"/>
          </w:tcPr>
          <w:p w14:paraId="32EA7498">
            <w:pPr>
              <w:jc w:val="center"/>
              <w:rPr>
                <w:rFonts w:ascii="Times New Roman" w:hAnsi="Times New Roman"/>
                <w:sz w:val="28"/>
                <w:szCs w:val="28"/>
              </w:rPr>
            </w:pPr>
          </w:p>
        </w:tc>
        <w:tc>
          <w:tcPr>
            <w:tcW w:w="2607" w:type="dxa"/>
            <w:noWrap w:val="0"/>
            <w:vAlign w:val="center"/>
          </w:tcPr>
          <w:p w14:paraId="57C5098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20072BD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秋播大蒜栽培全过程技术要求，降低生产风险，着力解决农户在播期选择、覆盖方式、肥水调控及越冬管理等关键环节差异较大、技术效果不稳定、推广效率低等问题，为突破春播大蒜产业瓶颈、保障菜农稳定增收提供技术依据。</w:t>
            </w:r>
          </w:p>
        </w:tc>
      </w:tr>
      <w:tr w14:paraId="7048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894" w:type="dxa"/>
            <w:vMerge w:val="continue"/>
            <w:noWrap w:val="0"/>
            <w:vAlign w:val="center"/>
          </w:tcPr>
          <w:p w14:paraId="357D548A">
            <w:pPr>
              <w:jc w:val="center"/>
              <w:rPr>
                <w:rFonts w:ascii="Times New Roman" w:hAnsi="Times New Roman"/>
                <w:sz w:val="28"/>
                <w:szCs w:val="28"/>
              </w:rPr>
            </w:pPr>
          </w:p>
        </w:tc>
        <w:tc>
          <w:tcPr>
            <w:tcW w:w="1951" w:type="dxa"/>
            <w:vMerge w:val="continue"/>
            <w:noWrap w:val="0"/>
            <w:vAlign w:val="center"/>
          </w:tcPr>
          <w:p w14:paraId="7103615E">
            <w:pPr>
              <w:jc w:val="center"/>
              <w:rPr>
                <w:rFonts w:ascii="Times New Roman" w:hAnsi="Times New Roman"/>
                <w:sz w:val="28"/>
                <w:szCs w:val="28"/>
              </w:rPr>
            </w:pPr>
          </w:p>
        </w:tc>
        <w:tc>
          <w:tcPr>
            <w:tcW w:w="2607" w:type="dxa"/>
            <w:noWrap w:val="0"/>
            <w:vAlign w:val="center"/>
          </w:tcPr>
          <w:p w14:paraId="2CF8D46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4590720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由具备蔬菜栽培学、土壤肥料学、植物保护学及农业气象学等相关专业背景的技术人员组成。团队应涵盖科研院所、农业技术推广机构等单位人员，同时吸纳从事大蒜秋播栽培技术示范的一线农技人员参与起草。</w:t>
            </w:r>
          </w:p>
        </w:tc>
      </w:tr>
    </w:tbl>
    <w:p w14:paraId="7456180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C72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58A78306">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60298B12">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5546E141">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7AF31F2A">
            <w:pPr>
              <w:jc w:val="center"/>
              <w:rPr>
                <w:rFonts w:ascii="Times New Roman" w:hAnsi="Times New Roman"/>
                <w:sz w:val="28"/>
                <w:szCs w:val="28"/>
              </w:rPr>
            </w:pPr>
            <w:r>
              <w:rPr>
                <w:rFonts w:hint="eastAsia" w:ascii="Times New Roman" w:hAnsi="Times New Roman" w:eastAsia="仿宋_GB2312"/>
                <w:sz w:val="28"/>
                <w:szCs w:val="28"/>
              </w:rPr>
              <w:t>紫皮蒜生产技术规程</w:t>
            </w:r>
          </w:p>
        </w:tc>
      </w:tr>
      <w:tr w14:paraId="34D3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5A7DC88F">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5</w:t>
            </w:r>
          </w:p>
        </w:tc>
        <w:tc>
          <w:tcPr>
            <w:tcW w:w="1951" w:type="dxa"/>
            <w:vMerge w:val="restart"/>
            <w:noWrap w:val="0"/>
            <w:vAlign w:val="center"/>
          </w:tcPr>
          <w:p w14:paraId="0C9407B1">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ZJ2026030</w:t>
            </w:r>
          </w:p>
        </w:tc>
        <w:tc>
          <w:tcPr>
            <w:tcW w:w="2607" w:type="dxa"/>
            <w:noWrap w:val="0"/>
            <w:vAlign w:val="center"/>
          </w:tcPr>
          <w:p w14:paraId="0E834CBB">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0BB43CB6">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4895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1DC4F472">
            <w:pPr>
              <w:jc w:val="center"/>
              <w:rPr>
                <w:rFonts w:ascii="Times New Roman" w:hAnsi="Times New Roman"/>
                <w:sz w:val="28"/>
                <w:szCs w:val="28"/>
              </w:rPr>
            </w:pPr>
          </w:p>
        </w:tc>
        <w:tc>
          <w:tcPr>
            <w:tcW w:w="1951" w:type="dxa"/>
            <w:vMerge w:val="continue"/>
            <w:noWrap w:val="0"/>
            <w:vAlign w:val="center"/>
          </w:tcPr>
          <w:p w14:paraId="11E37255">
            <w:pPr>
              <w:jc w:val="center"/>
              <w:rPr>
                <w:rFonts w:ascii="Times New Roman" w:hAnsi="Times New Roman"/>
                <w:sz w:val="28"/>
                <w:szCs w:val="28"/>
              </w:rPr>
            </w:pPr>
          </w:p>
        </w:tc>
        <w:tc>
          <w:tcPr>
            <w:tcW w:w="2607" w:type="dxa"/>
            <w:noWrap w:val="0"/>
            <w:vAlign w:val="center"/>
          </w:tcPr>
          <w:p w14:paraId="3666180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D2C7696">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E5E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52" w:hRule="atLeast"/>
        </w:trPr>
        <w:tc>
          <w:tcPr>
            <w:tcW w:w="894" w:type="dxa"/>
            <w:vMerge w:val="continue"/>
            <w:noWrap w:val="0"/>
            <w:vAlign w:val="center"/>
          </w:tcPr>
          <w:p w14:paraId="072CA717">
            <w:pPr>
              <w:jc w:val="center"/>
              <w:rPr>
                <w:rFonts w:ascii="Times New Roman" w:hAnsi="Times New Roman"/>
                <w:sz w:val="28"/>
                <w:szCs w:val="28"/>
              </w:rPr>
            </w:pPr>
          </w:p>
        </w:tc>
        <w:tc>
          <w:tcPr>
            <w:tcW w:w="1951" w:type="dxa"/>
            <w:vMerge w:val="continue"/>
            <w:noWrap w:val="0"/>
            <w:vAlign w:val="center"/>
          </w:tcPr>
          <w:p w14:paraId="25D09411">
            <w:pPr>
              <w:jc w:val="center"/>
              <w:rPr>
                <w:rFonts w:ascii="Times New Roman" w:hAnsi="Times New Roman"/>
                <w:sz w:val="28"/>
                <w:szCs w:val="28"/>
              </w:rPr>
            </w:pPr>
          </w:p>
        </w:tc>
        <w:tc>
          <w:tcPr>
            <w:tcW w:w="2607" w:type="dxa"/>
            <w:noWrap w:val="0"/>
            <w:vAlign w:val="center"/>
          </w:tcPr>
          <w:p w14:paraId="69C11FD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2C4BAB5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紫皮蒜全过程生产管理，着力解决我省紫皮蒜生产技术不统一、特优品质难以保障等问题，为各级农业技术推广部门及基层种植主体提供统一、规范的技术依据，全面提升紫皮蒜科学化种植管理水平。标准研制需从过程控制角度保障紫皮蒜特有品质。</w:t>
            </w:r>
          </w:p>
        </w:tc>
      </w:tr>
      <w:tr w14:paraId="224D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7" w:hRule="atLeast"/>
        </w:trPr>
        <w:tc>
          <w:tcPr>
            <w:tcW w:w="894" w:type="dxa"/>
            <w:vMerge w:val="continue"/>
            <w:noWrap w:val="0"/>
            <w:vAlign w:val="center"/>
          </w:tcPr>
          <w:p w14:paraId="0D14CFE9">
            <w:pPr>
              <w:jc w:val="center"/>
              <w:rPr>
                <w:rFonts w:ascii="Times New Roman" w:hAnsi="Times New Roman"/>
                <w:sz w:val="28"/>
                <w:szCs w:val="28"/>
              </w:rPr>
            </w:pPr>
          </w:p>
        </w:tc>
        <w:tc>
          <w:tcPr>
            <w:tcW w:w="1951" w:type="dxa"/>
            <w:vMerge w:val="continue"/>
            <w:noWrap w:val="0"/>
            <w:vAlign w:val="center"/>
          </w:tcPr>
          <w:p w14:paraId="43BC1478">
            <w:pPr>
              <w:jc w:val="center"/>
              <w:rPr>
                <w:rFonts w:ascii="Times New Roman" w:hAnsi="Times New Roman"/>
                <w:sz w:val="28"/>
                <w:szCs w:val="28"/>
              </w:rPr>
            </w:pPr>
          </w:p>
        </w:tc>
        <w:tc>
          <w:tcPr>
            <w:tcW w:w="2607" w:type="dxa"/>
            <w:noWrap w:val="0"/>
            <w:vAlign w:val="center"/>
          </w:tcPr>
          <w:p w14:paraId="6DB5005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0B9B18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起草团队专业应覆盖作物栽培、蔬菜育种、植物保护、土壤肥料、农产品质量安全等相关领域。</w:t>
            </w:r>
            <w:r>
              <w:rPr>
                <w:rFonts w:hint="eastAsia" w:ascii="仿宋_GB2312" w:hAnsi="仿宋_GB2312" w:eastAsia="仿宋_GB2312" w:cs="仿宋_GB2312"/>
                <w:sz w:val="24"/>
                <w:szCs w:val="24"/>
                <w:lang w:val="en-US" w:eastAsia="zh-CN"/>
              </w:rPr>
              <w:t>起草团队</w:t>
            </w:r>
            <w:r>
              <w:rPr>
                <w:rFonts w:hint="eastAsia" w:ascii="仿宋_GB2312" w:hAnsi="仿宋_GB2312" w:eastAsia="仿宋_GB2312" w:cs="仿宋_GB2312"/>
                <w:sz w:val="24"/>
                <w:szCs w:val="24"/>
              </w:rPr>
              <w:t>应熟悉山西特优紫皮蒜生物学特性及生长环境，熟练掌握选种、播前处理、田间管理、水肥调控、病虫害绿色防控、采后贮藏等全产业链生产技术，应具有农业地方标准或技术规程编制经验。团队需由科研院所、农技推广部门、标准化机构等单位人员共同组成，至少包含1—2名副高级及以上职称人员负责技术审核。</w:t>
            </w:r>
          </w:p>
        </w:tc>
      </w:tr>
    </w:tbl>
    <w:p w14:paraId="346D519D"/>
    <w:p w14:paraId="5A724FF5">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3DF9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5037A18A">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4E1860D">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84EC6C8">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15CD6CC">
            <w:pPr>
              <w:jc w:val="center"/>
              <w:rPr>
                <w:rFonts w:ascii="Times New Roman" w:hAnsi="Times New Roman"/>
                <w:sz w:val="28"/>
                <w:szCs w:val="28"/>
              </w:rPr>
            </w:pPr>
            <w:r>
              <w:rPr>
                <w:rFonts w:hint="eastAsia" w:ascii="Times New Roman" w:hAnsi="Times New Roman" w:eastAsia="仿宋_GB2312"/>
                <w:sz w:val="28"/>
                <w:szCs w:val="28"/>
              </w:rPr>
              <w:t>茄果类蔬菜集约化育苗生产技术规程</w:t>
            </w:r>
          </w:p>
        </w:tc>
      </w:tr>
      <w:tr w14:paraId="5FD9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396C4840">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6</w:t>
            </w:r>
          </w:p>
        </w:tc>
        <w:tc>
          <w:tcPr>
            <w:tcW w:w="1951" w:type="dxa"/>
            <w:vMerge w:val="restart"/>
            <w:noWrap w:val="0"/>
            <w:vAlign w:val="center"/>
          </w:tcPr>
          <w:p w14:paraId="07EE773A">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ZJ2026031</w:t>
            </w:r>
          </w:p>
        </w:tc>
        <w:tc>
          <w:tcPr>
            <w:tcW w:w="2607" w:type="dxa"/>
            <w:noWrap w:val="0"/>
            <w:vAlign w:val="center"/>
          </w:tcPr>
          <w:p w14:paraId="157BF42C">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62F5A290">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47FC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54EF24F1">
            <w:pPr>
              <w:jc w:val="center"/>
              <w:rPr>
                <w:rFonts w:ascii="Times New Roman" w:hAnsi="Times New Roman"/>
                <w:sz w:val="28"/>
                <w:szCs w:val="28"/>
              </w:rPr>
            </w:pPr>
          </w:p>
        </w:tc>
        <w:tc>
          <w:tcPr>
            <w:tcW w:w="1951" w:type="dxa"/>
            <w:vMerge w:val="continue"/>
            <w:noWrap w:val="0"/>
            <w:vAlign w:val="center"/>
          </w:tcPr>
          <w:p w14:paraId="0A9069FB">
            <w:pPr>
              <w:jc w:val="center"/>
              <w:rPr>
                <w:rFonts w:ascii="Times New Roman" w:hAnsi="Times New Roman"/>
                <w:sz w:val="28"/>
                <w:szCs w:val="28"/>
              </w:rPr>
            </w:pPr>
          </w:p>
        </w:tc>
        <w:tc>
          <w:tcPr>
            <w:tcW w:w="2607" w:type="dxa"/>
            <w:noWrap w:val="0"/>
            <w:vAlign w:val="center"/>
          </w:tcPr>
          <w:p w14:paraId="42913394">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1CE51A9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AA5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4" w:hRule="atLeast"/>
        </w:trPr>
        <w:tc>
          <w:tcPr>
            <w:tcW w:w="894" w:type="dxa"/>
            <w:vMerge w:val="continue"/>
            <w:noWrap w:val="0"/>
            <w:vAlign w:val="center"/>
          </w:tcPr>
          <w:p w14:paraId="3EE024FA">
            <w:pPr>
              <w:jc w:val="center"/>
              <w:rPr>
                <w:rFonts w:ascii="Times New Roman" w:hAnsi="Times New Roman"/>
                <w:sz w:val="28"/>
                <w:szCs w:val="28"/>
              </w:rPr>
            </w:pPr>
          </w:p>
        </w:tc>
        <w:tc>
          <w:tcPr>
            <w:tcW w:w="1951" w:type="dxa"/>
            <w:vMerge w:val="continue"/>
            <w:noWrap w:val="0"/>
            <w:vAlign w:val="center"/>
          </w:tcPr>
          <w:p w14:paraId="4A74A911">
            <w:pPr>
              <w:jc w:val="center"/>
              <w:rPr>
                <w:rFonts w:ascii="Times New Roman" w:hAnsi="Times New Roman"/>
                <w:sz w:val="28"/>
                <w:szCs w:val="28"/>
              </w:rPr>
            </w:pPr>
          </w:p>
        </w:tc>
        <w:tc>
          <w:tcPr>
            <w:tcW w:w="2607" w:type="dxa"/>
            <w:noWrap w:val="0"/>
            <w:vAlign w:val="center"/>
          </w:tcPr>
          <w:p w14:paraId="0284AB21">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3299D7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省内番茄、茄子、辣椒等主要茄果类蔬菜的集约化穴盘育苗生产过程，从源头控制种苗质量、减少苗期病虫害、缩短定植缓苗期、提高产量和商品性，推动全省茄果类蔬菜稳产提质。标准研制需注意与相关行业标准作出区分。</w:t>
            </w:r>
          </w:p>
        </w:tc>
      </w:tr>
      <w:tr w14:paraId="2A5B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894" w:type="dxa"/>
            <w:vMerge w:val="continue"/>
            <w:noWrap w:val="0"/>
            <w:vAlign w:val="center"/>
          </w:tcPr>
          <w:p w14:paraId="600133E8">
            <w:pPr>
              <w:jc w:val="center"/>
              <w:rPr>
                <w:rFonts w:ascii="Times New Roman" w:hAnsi="Times New Roman"/>
                <w:sz w:val="28"/>
                <w:szCs w:val="28"/>
              </w:rPr>
            </w:pPr>
          </w:p>
        </w:tc>
        <w:tc>
          <w:tcPr>
            <w:tcW w:w="1951" w:type="dxa"/>
            <w:vMerge w:val="continue"/>
            <w:noWrap w:val="0"/>
            <w:vAlign w:val="center"/>
          </w:tcPr>
          <w:p w14:paraId="51CC6707">
            <w:pPr>
              <w:jc w:val="center"/>
              <w:rPr>
                <w:rFonts w:ascii="Times New Roman" w:hAnsi="Times New Roman"/>
                <w:sz w:val="28"/>
                <w:szCs w:val="28"/>
              </w:rPr>
            </w:pPr>
          </w:p>
        </w:tc>
        <w:tc>
          <w:tcPr>
            <w:tcW w:w="2607" w:type="dxa"/>
            <w:noWrap w:val="0"/>
            <w:vAlign w:val="center"/>
          </w:tcPr>
          <w:p w14:paraId="0CCBD62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56B8C8C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涵盖蔬菜栽培学、植物保护学、土壤肥料学、设施农业工程、农业标准化等专业领域。应熟悉茄果类蔬菜生物学特性、育苗环境调控及苗期管理等关键技术，系统掌握茄果类蔬菜集约化育苗全链条技术，包括设施设备选择、基质配制与消杀、种子处理与催芽、苗期水肥一体化管理、环境精准调控、病虫害绿色防控、嫁接育苗、成苗标准与分级、包装运输等，具备农业地方标准或技术规程编制经验。团队成员中至少包含2—3名具有副高级及以上专业技术职称的人员，负责技术内容审核把关，同时吸纳基层农技推广人员和一线育苗技术骨干参与，增强规程的实用性和可操作性。</w:t>
            </w:r>
          </w:p>
        </w:tc>
      </w:tr>
    </w:tbl>
    <w:p w14:paraId="70A745BB">
      <w:pPr>
        <w:jc w:val="center"/>
        <w:rPr>
          <w:rFonts w:hint="eastAsia" w:ascii="Times New Roman" w:hAnsi="Times New Roman" w:eastAsia="方正小标宋简体" w:cs="Times New Roman"/>
          <w:sz w:val="44"/>
          <w:szCs w:val="44"/>
          <w:lang w:val="en-US" w:eastAsia="zh-CN"/>
        </w:rPr>
      </w:pPr>
    </w:p>
    <w:p w14:paraId="00FDD57C">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BC8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1456E3BC">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2BC9CF1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22860E89">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37F68E55">
            <w:pPr>
              <w:jc w:val="center"/>
              <w:rPr>
                <w:rFonts w:ascii="Times New Roman" w:hAnsi="Times New Roman"/>
                <w:sz w:val="28"/>
                <w:szCs w:val="28"/>
              </w:rPr>
            </w:pPr>
            <w:r>
              <w:rPr>
                <w:rFonts w:hint="eastAsia" w:ascii="Times New Roman" w:hAnsi="Times New Roman" w:eastAsia="仿宋_GB2312"/>
                <w:sz w:val="28"/>
                <w:szCs w:val="28"/>
              </w:rPr>
              <w:t>十字花科类蔬菜集约化育苗生产技术规程</w:t>
            </w:r>
          </w:p>
        </w:tc>
      </w:tr>
      <w:tr w14:paraId="033F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4C60F507">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7</w:t>
            </w:r>
          </w:p>
        </w:tc>
        <w:tc>
          <w:tcPr>
            <w:tcW w:w="1951" w:type="dxa"/>
            <w:vMerge w:val="restart"/>
            <w:noWrap w:val="0"/>
            <w:vAlign w:val="center"/>
          </w:tcPr>
          <w:p w14:paraId="3569C5ED">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ZJ2026032</w:t>
            </w:r>
          </w:p>
        </w:tc>
        <w:tc>
          <w:tcPr>
            <w:tcW w:w="2607" w:type="dxa"/>
            <w:noWrap w:val="0"/>
            <w:vAlign w:val="center"/>
          </w:tcPr>
          <w:p w14:paraId="4C4F35D1">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641DD31B">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2FE3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3D30903D">
            <w:pPr>
              <w:jc w:val="center"/>
              <w:rPr>
                <w:rFonts w:ascii="Times New Roman" w:hAnsi="Times New Roman"/>
                <w:sz w:val="28"/>
                <w:szCs w:val="28"/>
              </w:rPr>
            </w:pPr>
          </w:p>
        </w:tc>
        <w:tc>
          <w:tcPr>
            <w:tcW w:w="1951" w:type="dxa"/>
            <w:vMerge w:val="continue"/>
            <w:noWrap w:val="0"/>
            <w:vAlign w:val="center"/>
          </w:tcPr>
          <w:p w14:paraId="3EE81DA6">
            <w:pPr>
              <w:jc w:val="center"/>
              <w:rPr>
                <w:rFonts w:ascii="Times New Roman" w:hAnsi="Times New Roman"/>
                <w:sz w:val="28"/>
                <w:szCs w:val="28"/>
              </w:rPr>
            </w:pPr>
          </w:p>
        </w:tc>
        <w:tc>
          <w:tcPr>
            <w:tcW w:w="2607" w:type="dxa"/>
            <w:noWrap w:val="0"/>
            <w:vAlign w:val="center"/>
          </w:tcPr>
          <w:p w14:paraId="018E9C8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FDE728F">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8CE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0" w:hRule="atLeast"/>
        </w:trPr>
        <w:tc>
          <w:tcPr>
            <w:tcW w:w="894" w:type="dxa"/>
            <w:vMerge w:val="continue"/>
            <w:noWrap w:val="0"/>
            <w:vAlign w:val="center"/>
          </w:tcPr>
          <w:p w14:paraId="5CABC716">
            <w:pPr>
              <w:jc w:val="center"/>
              <w:rPr>
                <w:rFonts w:ascii="Times New Roman" w:hAnsi="Times New Roman"/>
                <w:sz w:val="28"/>
                <w:szCs w:val="28"/>
              </w:rPr>
            </w:pPr>
          </w:p>
        </w:tc>
        <w:tc>
          <w:tcPr>
            <w:tcW w:w="1951" w:type="dxa"/>
            <w:vMerge w:val="continue"/>
            <w:noWrap w:val="0"/>
            <w:vAlign w:val="center"/>
          </w:tcPr>
          <w:p w14:paraId="0541F673">
            <w:pPr>
              <w:jc w:val="center"/>
              <w:rPr>
                <w:rFonts w:ascii="Times New Roman" w:hAnsi="Times New Roman"/>
                <w:sz w:val="28"/>
                <w:szCs w:val="28"/>
              </w:rPr>
            </w:pPr>
          </w:p>
        </w:tc>
        <w:tc>
          <w:tcPr>
            <w:tcW w:w="2607" w:type="dxa"/>
            <w:noWrap w:val="0"/>
            <w:vAlign w:val="center"/>
          </w:tcPr>
          <w:p w14:paraId="25553251">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22BDF11">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本标准规范省内十字花科类蔬菜的集约化育苗生产与管理过程，统一育苗流程、规范关键技术指标，大幅提高节种率与成苗率，为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菜篮子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稳产保供提供技术支撑。</w:t>
            </w:r>
          </w:p>
        </w:tc>
      </w:tr>
      <w:tr w14:paraId="77C6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8" w:hRule="atLeast"/>
        </w:trPr>
        <w:tc>
          <w:tcPr>
            <w:tcW w:w="894" w:type="dxa"/>
            <w:vMerge w:val="continue"/>
            <w:noWrap w:val="0"/>
            <w:vAlign w:val="center"/>
          </w:tcPr>
          <w:p w14:paraId="70B1E113">
            <w:pPr>
              <w:jc w:val="center"/>
              <w:rPr>
                <w:rFonts w:ascii="Times New Roman" w:hAnsi="Times New Roman"/>
                <w:sz w:val="28"/>
                <w:szCs w:val="28"/>
              </w:rPr>
            </w:pPr>
          </w:p>
        </w:tc>
        <w:tc>
          <w:tcPr>
            <w:tcW w:w="1951" w:type="dxa"/>
            <w:vMerge w:val="continue"/>
            <w:noWrap w:val="0"/>
            <w:vAlign w:val="center"/>
          </w:tcPr>
          <w:p w14:paraId="4BECC9F3">
            <w:pPr>
              <w:jc w:val="center"/>
              <w:rPr>
                <w:rFonts w:ascii="Times New Roman" w:hAnsi="Times New Roman"/>
                <w:sz w:val="28"/>
                <w:szCs w:val="28"/>
              </w:rPr>
            </w:pPr>
          </w:p>
        </w:tc>
        <w:tc>
          <w:tcPr>
            <w:tcW w:w="2607" w:type="dxa"/>
            <w:noWrap w:val="0"/>
            <w:vAlign w:val="center"/>
          </w:tcPr>
          <w:p w14:paraId="3E6BC4F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5202CA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涵盖蔬菜栽培学、植物保护学、土壤肥料学、设施农业工程、农业标准化等专业领域，应熟悉十字花科类蔬菜生物学特性、育苗环境调控及苗期管理等关键技术，系统掌握十字花科类蔬菜集约化育苗全链条技术，包括设施设备选择、基质配制与消杀、种子处理与催芽、苗期水肥一体化管理、环境精准调控、病虫害绿色防控、嫁接育苗、成苗标准与分级、包装运输等，具备农业地方标准或技术规程编制经验。团队成员中至少包含2—3名具有副高级及以上专业技术职称的人员，负责技术内容审核把关，同时吸纳基层农技推广人员和一线育苗技术骨干参与，增强规程的实用性和可操作性。</w:t>
            </w:r>
          </w:p>
        </w:tc>
      </w:tr>
    </w:tbl>
    <w:p w14:paraId="641BB15F"/>
    <w:p w14:paraId="7430C36D"/>
    <w:p w14:paraId="71CEAF2B">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548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13D4EB17">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7F6F2F3">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8640183">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DDB9F8F">
            <w:pPr>
              <w:jc w:val="center"/>
              <w:rPr>
                <w:rFonts w:ascii="Times New Roman" w:hAnsi="Times New Roman"/>
                <w:sz w:val="28"/>
                <w:szCs w:val="28"/>
              </w:rPr>
            </w:pPr>
            <w:r>
              <w:rPr>
                <w:rFonts w:hint="eastAsia" w:ascii="Times New Roman" w:hAnsi="Times New Roman" w:eastAsia="仿宋_GB2312"/>
                <w:sz w:val="28"/>
                <w:szCs w:val="28"/>
              </w:rPr>
              <w:t>地黄栽培技术规程</w:t>
            </w:r>
          </w:p>
        </w:tc>
      </w:tr>
      <w:tr w14:paraId="61FB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23D3343C">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8</w:t>
            </w:r>
          </w:p>
        </w:tc>
        <w:tc>
          <w:tcPr>
            <w:tcW w:w="1951" w:type="dxa"/>
            <w:vMerge w:val="restart"/>
            <w:noWrap w:val="0"/>
            <w:vAlign w:val="center"/>
          </w:tcPr>
          <w:p w14:paraId="3118A36D">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ZJ2026033</w:t>
            </w:r>
          </w:p>
        </w:tc>
        <w:tc>
          <w:tcPr>
            <w:tcW w:w="2607" w:type="dxa"/>
            <w:noWrap w:val="0"/>
            <w:vAlign w:val="center"/>
          </w:tcPr>
          <w:p w14:paraId="61EE6D4F">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7FA5FD38">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1EC9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22D01DC6">
            <w:pPr>
              <w:jc w:val="center"/>
              <w:rPr>
                <w:rFonts w:ascii="Times New Roman" w:hAnsi="Times New Roman"/>
                <w:sz w:val="28"/>
                <w:szCs w:val="28"/>
              </w:rPr>
            </w:pPr>
          </w:p>
        </w:tc>
        <w:tc>
          <w:tcPr>
            <w:tcW w:w="1951" w:type="dxa"/>
            <w:vMerge w:val="continue"/>
            <w:noWrap w:val="0"/>
            <w:vAlign w:val="center"/>
          </w:tcPr>
          <w:p w14:paraId="41138D77">
            <w:pPr>
              <w:jc w:val="center"/>
              <w:rPr>
                <w:rFonts w:ascii="Times New Roman" w:hAnsi="Times New Roman"/>
                <w:sz w:val="28"/>
                <w:szCs w:val="28"/>
              </w:rPr>
            </w:pPr>
          </w:p>
        </w:tc>
        <w:tc>
          <w:tcPr>
            <w:tcW w:w="2607" w:type="dxa"/>
            <w:noWrap w:val="0"/>
            <w:vAlign w:val="center"/>
          </w:tcPr>
          <w:p w14:paraId="5D34926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F6CFC0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1CC6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0" w:hRule="atLeast"/>
        </w:trPr>
        <w:tc>
          <w:tcPr>
            <w:tcW w:w="894" w:type="dxa"/>
            <w:vMerge w:val="continue"/>
            <w:noWrap w:val="0"/>
            <w:vAlign w:val="center"/>
          </w:tcPr>
          <w:p w14:paraId="6037224E">
            <w:pPr>
              <w:jc w:val="center"/>
              <w:rPr>
                <w:rFonts w:ascii="Times New Roman" w:hAnsi="Times New Roman"/>
                <w:sz w:val="28"/>
                <w:szCs w:val="28"/>
              </w:rPr>
            </w:pPr>
          </w:p>
        </w:tc>
        <w:tc>
          <w:tcPr>
            <w:tcW w:w="1951" w:type="dxa"/>
            <w:vMerge w:val="continue"/>
            <w:noWrap w:val="0"/>
            <w:vAlign w:val="center"/>
          </w:tcPr>
          <w:p w14:paraId="484FD3AD">
            <w:pPr>
              <w:jc w:val="center"/>
              <w:rPr>
                <w:rFonts w:ascii="Times New Roman" w:hAnsi="Times New Roman"/>
                <w:sz w:val="28"/>
                <w:szCs w:val="28"/>
              </w:rPr>
            </w:pPr>
          </w:p>
        </w:tc>
        <w:tc>
          <w:tcPr>
            <w:tcW w:w="2607" w:type="dxa"/>
            <w:noWrap w:val="0"/>
            <w:vAlign w:val="center"/>
          </w:tcPr>
          <w:p w14:paraId="0C31DEB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E504528">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本标准规范地黄栽培全过程，包括产地环境选择、选地与整地、栽种、田间管理、病虫害防控、采收、产地干燥及贮存等环节，着力解决山西地黄产业质量不稳、技术粗放、效益偏低、存在安全风险等问题。</w:t>
            </w:r>
          </w:p>
        </w:tc>
      </w:tr>
      <w:tr w14:paraId="055B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6D6A774D">
            <w:pPr>
              <w:jc w:val="center"/>
              <w:rPr>
                <w:rFonts w:ascii="Times New Roman" w:hAnsi="Times New Roman"/>
                <w:sz w:val="28"/>
                <w:szCs w:val="28"/>
              </w:rPr>
            </w:pPr>
          </w:p>
        </w:tc>
        <w:tc>
          <w:tcPr>
            <w:tcW w:w="1951" w:type="dxa"/>
            <w:vMerge w:val="continue"/>
            <w:noWrap w:val="0"/>
            <w:vAlign w:val="center"/>
          </w:tcPr>
          <w:p w14:paraId="13811083">
            <w:pPr>
              <w:jc w:val="center"/>
              <w:rPr>
                <w:rFonts w:ascii="Times New Roman" w:hAnsi="Times New Roman"/>
                <w:sz w:val="28"/>
                <w:szCs w:val="28"/>
              </w:rPr>
            </w:pPr>
          </w:p>
        </w:tc>
        <w:tc>
          <w:tcPr>
            <w:tcW w:w="2607" w:type="dxa"/>
            <w:noWrap w:val="0"/>
            <w:vAlign w:val="center"/>
          </w:tcPr>
          <w:p w14:paraId="58202706">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9878F8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团队成员应包括：具有地黄栽培、田间管理、病虫害防治等研究基础和实践经验的科研人员；以及具备产业政策研究、技术推广、基地管理等工作经验的行业管理人员。</w:t>
            </w:r>
          </w:p>
        </w:tc>
      </w:tr>
    </w:tbl>
    <w:p w14:paraId="1AA22A6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06B4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11EA3C50">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166DE6BE">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252AB3A">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B05D8D2">
            <w:pPr>
              <w:jc w:val="center"/>
              <w:rPr>
                <w:rFonts w:ascii="Times New Roman" w:hAnsi="Times New Roman"/>
                <w:sz w:val="28"/>
                <w:szCs w:val="28"/>
              </w:rPr>
            </w:pPr>
            <w:r>
              <w:rPr>
                <w:rFonts w:hint="eastAsia" w:ascii="Times New Roman" w:hAnsi="Times New Roman" w:eastAsia="仿宋_GB2312"/>
                <w:sz w:val="28"/>
                <w:szCs w:val="28"/>
              </w:rPr>
              <w:t>山茱萸仿野生栽培技术规程</w:t>
            </w:r>
          </w:p>
        </w:tc>
      </w:tr>
      <w:tr w14:paraId="04CE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388256F9">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9</w:t>
            </w:r>
          </w:p>
        </w:tc>
        <w:tc>
          <w:tcPr>
            <w:tcW w:w="1951" w:type="dxa"/>
            <w:vMerge w:val="restart"/>
            <w:noWrap w:val="0"/>
            <w:vAlign w:val="center"/>
          </w:tcPr>
          <w:p w14:paraId="2D8326E1">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ZJ2026034</w:t>
            </w:r>
          </w:p>
        </w:tc>
        <w:tc>
          <w:tcPr>
            <w:tcW w:w="2607" w:type="dxa"/>
            <w:noWrap w:val="0"/>
            <w:vAlign w:val="center"/>
          </w:tcPr>
          <w:p w14:paraId="6F0B7940">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1541DB2">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3066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41FBB56C">
            <w:pPr>
              <w:jc w:val="center"/>
              <w:rPr>
                <w:rFonts w:ascii="Times New Roman" w:hAnsi="Times New Roman"/>
                <w:sz w:val="28"/>
                <w:szCs w:val="28"/>
              </w:rPr>
            </w:pPr>
          </w:p>
        </w:tc>
        <w:tc>
          <w:tcPr>
            <w:tcW w:w="1951" w:type="dxa"/>
            <w:vMerge w:val="continue"/>
            <w:noWrap w:val="0"/>
            <w:vAlign w:val="center"/>
          </w:tcPr>
          <w:p w14:paraId="5CA3983F">
            <w:pPr>
              <w:jc w:val="center"/>
              <w:rPr>
                <w:rFonts w:ascii="Times New Roman" w:hAnsi="Times New Roman"/>
                <w:sz w:val="28"/>
                <w:szCs w:val="28"/>
              </w:rPr>
            </w:pPr>
          </w:p>
        </w:tc>
        <w:tc>
          <w:tcPr>
            <w:tcW w:w="2607" w:type="dxa"/>
            <w:noWrap w:val="0"/>
            <w:vAlign w:val="center"/>
          </w:tcPr>
          <w:p w14:paraId="3330EAAF">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8E58E05">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9D8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4E7D8B2E">
            <w:pPr>
              <w:jc w:val="center"/>
              <w:rPr>
                <w:rFonts w:ascii="Times New Roman" w:hAnsi="Times New Roman"/>
                <w:sz w:val="28"/>
                <w:szCs w:val="28"/>
              </w:rPr>
            </w:pPr>
          </w:p>
        </w:tc>
        <w:tc>
          <w:tcPr>
            <w:tcW w:w="1951" w:type="dxa"/>
            <w:vMerge w:val="continue"/>
            <w:noWrap w:val="0"/>
            <w:vAlign w:val="center"/>
          </w:tcPr>
          <w:p w14:paraId="1DABE91E">
            <w:pPr>
              <w:jc w:val="center"/>
              <w:rPr>
                <w:rFonts w:ascii="Times New Roman" w:hAnsi="Times New Roman"/>
                <w:sz w:val="28"/>
                <w:szCs w:val="28"/>
              </w:rPr>
            </w:pPr>
          </w:p>
        </w:tc>
        <w:tc>
          <w:tcPr>
            <w:tcW w:w="2607" w:type="dxa"/>
            <w:noWrap w:val="0"/>
            <w:vAlign w:val="center"/>
          </w:tcPr>
          <w:p w14:paraId="26335AF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EA4DD4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山茱萸仿野生林下栽培、野生抚育、近自然种植全流程技术与管理要求，着力解决品质不均、药效不稳等问题，同时适配山地生态，减少化肥农药使用，降低病虫害与农残风险，保障药材安全与林地可持续利用，最终实现提升优果率与商品等级、对接中药企业原料需求、稳定种植户收益、助力乡村特色产业提质增效的目标。</w:t>
            </w:r>
          </w:p>
        </w:tc>
      </w:tr>
      <w:tr w14:paraId="0F12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43" w:hRule="atLeast"/>
        </w:trPr>
        <w:tc>
          <w:tcPr>
            <w:tcW w:w="894" w:type="dxa"/>
            <w:vMerge w:val="continue"/>
            <w:noWrap w:val="0"/>
            <w:vAlign w:val="center"/>
          </w:tcPr>
          <w:p w14:paraId="7E006FA0">
            <w:pPr>
              <w:jc w:val="center"/>
              <w:rPr>
                <w:rFonts w:ascii="Times New Roman" w:hAnsi="Times New Roman"/>
                <w:sz w:val="28"/>
                <w:szCs w:val="28"/>
              </w:rPr>
            </w:pPr>
          </w:p>
        </w:tc>
        <w:tc>
          <w:tcPr>
            <w:tcW w:w="1951" w:type="dxa"/>
            <w:vMerge w:val="continue"/>
            <w:noWrap w:val="0"/>
            <w:vAlign w:val="center"/>
          </w:tcPr>
          <w:p w14:paraId="1B7D9A2B">
            <w:pPr>
              <w:jc w:val="center"/>
              <w:rPr>
                <w:rFonts w:ascii="Times New Roman" w:hAnsi="Times New Roman"/>
                <w:sz w:val="28"/>
                <w:szCs w:val="28"/>
              </w:rPr>
            </w:pPr>
          </w:p>
        </w:tc>
        <w:tc>
          <w:tcPr>
            <w:tcW w:w="2607" w:type="dxa"/>
            <w:noWrap w:val="0"/>
            <w:vAlign w:val="center"/>
          </w:tcPr>
          <w:p w14:paraId="2DFEB03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7D5BFFB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需覆盖中药材栽培、林草生态、植物保护、药用植物育种、标准化、药检与质量管控等领域，具备山茱萸种植研究或生产实践经验。团队人员应包括：从事中药材栽培或林草技术5年以上、主持过地方标准或科研项目、具备中药材GAP与生态种植实操经验、熟悉山西山茱萸产区情况的人员；同时需涵盖种植基地技术负责人、科研院校专家、药检机构人员。</w:t>
            </w:r>
          </w:p>
        </w:tc>
      </w:tr>
    </w:tbl>
    <w:p w14:paraId="706B919C"/>
    <w:p w14:paraId="090CB94D">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824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7282D7FB">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BB3528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6C251F4">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054FE80">
            <w:pPr>
              <w:jc w:val="center"/>
              <w:rPr>
                <w:rFonts w:ascii="Times New Roman" w:hAnsi="Times New Roman"/>
                <w:sz w:val="28"/>
                <w:szCs w:val="28"/>
              </w:rPr>
            </w:pPr>
            <w:r>
              <w:rPr>
                <w:rFonts w:hint="eastAsia" w:ascii="Times New Roman" w:hAnsi="Times New Roman" w:eastAsia="仿宋_GB2312"/>
                <w:sz w:val="28"/>
                <w:szCs w:val="28"/>
              </w:rPr>
              <w:t>药用菊花生产技术规程</w:t>
            </w:r>
          </w:p>
        </w:tc>
      </w:tr>
      <w:tr w14:paraId="288E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42A5532D">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10</w:t>
            </w:r>
          </w:p>
        </w:tc>
        <w:tc>
          <w:tcPr>
            <w:tcW w:w="1951" w:type="dxa"/>
            <w:vMerge w:val="restart"/>
            <w:noWrap w:val="0"/>
            <w:vAlign w:val="center"/>
          </w:tcPr>
          <w:p w14:paraId="0516EBD0">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ZJ2026035</w:t>
            </w:r>
          </w:p>
        </w:tc>
        <w:tc>
          <w:tcPr>
            <w:tcW w:w="2607" w:type="dxa"/>
            <w:noWrap w:val="0"/>
            <w:vAlign w:val="center"/>
          </w:tcPr>
          <w:p w14:paraId="62E18E23">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1F93C0A">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C85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69BB6E0C">
            <w:pPr>
              <w:jc w:val="center"/>
              <w:rPr>
                <w:rFonts w:ascii="Times New Roman" w:hAnsi="Times New Roman"/>
                <w:sz w:val="28"/>
                <w:szCs w:val="28"/>
              </w:rPr>
            </w:pPr>
          </w:p>
        </w:tc>
        <w:tc>
          <w:tcPr>
            <w:tcW w:w="1951" w:type="dxa"/>
            <w:vMerge w:val="continue"/>
            <w:noWrap w:val="0"/>
            <w:vAlign w:val="center"/>
          </w:tcPr>
          <w:p w14:paraId="7BF981C6">
            <w:pPr>
              <w:jc w:val="center"/>
              <w:rPr>
                <w:rFonts w:ascii="Times New Roman" w:hAnsi="Times New Roman"/>
                <w:sz w:val="28"/>
                <w:szCs w:val="28"/>
              </w:rPr>
            </w:pPr>
          </w:p>
        </w:tc>
        <w:tc>
          <w:tcPr>
            <w:tcW w:w="2607" w:type="dxa"/>
            <w:noWrap w:val="0"/>
            <w:vAlign w:val="center"/>
          </w:tcPr>
          <w:p w14:paraId="0C258918">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E00C860">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B1C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9" w:hRule="atLeast"/>
        </w:trPr>
        <w:tc>
          <w:tcPr>
            <w:tcW w:w="894" w:type="dxa"/>
            <w:vMerge w:val="continue"/>
            <w:noWrap w:val="0"/>
            <w:vAlign w:val="center"/>
          </w:tcPr>
          <w:p w14:paraId="0FAF56E1">
            <w:pPr>
              <w:jc w:val="center"/>
              <w:rPr>
                <w:rFonts w:ascii="Times New Roman" w:hAnsi="Times New Roman"/>
                <w:sz w:val="28"/>
                <w:szCs w:val="28"/>
              </w:rPr>
            </w:pPr>
          </w:p>
        </w:tc>
        <w:tc>
          <w:tcPr>
            <w:tcW w:w="1951" w:type="dxa"/>
            <w:vMerge w:val="continue"/>
            <w:noWrap w:val="0"/>
            <w:vAlign w:val="center"/>
          </w:tcPr>
          <w:p w14:paraId="08D92CFA">
            <w:pPr>
              <w:jc w:val="center"/>
              <w:rPr>
                <w:rFonts w:ascii="Times New Roman" w:hAnsi="Times New Roman"/>
                <w:sz w:val="28"/>
                <w:szCs w:val="28"/>
              </w:rPr>
            </w:pPr>
          </w:p>
        </w:tc>
        <w:tc>
          <w:tcPr>
            <w:tcW w:w="2607" w:type="dxa"/>
            <w:noWrap w:val="0"/>
            <w:vAlign w:val="center"/>
          </w:tcPr>
          <w:p w14:paraId="5B9D4E6D">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128D3DF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本标准明确产地环境、品种选择、育苗移栽、水肥管理、病虫害防控、采收时期、初加工方法等关键技术参数，规范药用菊花生产过程，着力解决产业</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大而不强、大而不优</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问题，实现保障药材质量稳定可控、有效控制农残风险、促进全产业链提质增效的目标。</w:t>
            </w:r>
          </w:p>
        </w:tc>
      </w:tr>
      <w:tr w14:paraId="1624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08" w:hRule="atLeast"/>
        </w:trPr>
        <w:tc>
          <w:tcPr>
            <w:tcW w:w="894" w:type="dxa"/>
            <w:vMerge w:val="continue"/>
            <w:noWrap w:val="0"/>
            <w:vAlign w:val="center"/>
          </w:tcPr>
          <w:p w14:paraId="5F83B4A2">
            <w:pPr>
              <w:jc w:val="center"/>
              <w:rPr>
                <w:rFonts w:ascii="Times New Roman" w:hAnsi="Times New Roman"/>
                <w:sz w:val="28"/>
                <w:szCs w:val="28"/>
              </w:rPr>
            </w:pPr>
          </w:p>
        </w:tc>
        <w:tc>
          <w:tcPr>
            <w:tcW w:w="1951" w:type="dxa"/>
            <w:vMerge w:val="continue"/>
            <w:noWrap w:val="0"/>
            <w:vAlign w:val="center"/>
          </w:tcPr>
          <w:p w14:paraId="5CDFDFB6">
            <w:pPr>
              <w:jc w:val="center"/>
              <w:rPr>
                <w:rFonts w:ascii="Times New Roman" w:hAnsi="Times New Roman"/>
                <w:sz w:val="28"/>
                <w:szCs w:val="28"/>
              </w:rPr>
            </w:pPr>
          </w:p>
        </w:tc>
        <w:tc>
          <w:tcPr>
            <w:tcW w:w="2607" w:type="dxa"/>
            <w:noWrap w:val="0"/>
            <w:vAlign w:val="center"/>
          </w:tcPr>
          <w:p w14:paraId="2850FFC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6254BC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人员应长期从事中药材、菊花种植、生产加工或技术服务推广工作，熟悉中药材、菊花各环节生产技术要求，掌握国家中药材GAP（中药材生产质量管理规范）相关规定，了解中药材标准化生产的技术路径与实施难点，具备将技术研究成果转化为可操作标准的能力，拥有菊花GAP基地建设及标准化生产相关研究基础。团队成员结构应兼顾以下类型：一是具有中药材种植、药用植物栽培等相关专业背景，熟悉菊花生物学特性及《中华人民共和国药典》质量标准要求的技术人员；二是长期扎根一线开展菊花种植技术指导服务，熟悉我省菊花主产区生产现状与突出问题的农技人员；三是熟悉生产实操、市场需求及产业链运行情况，能够为标准研制提供实践支撑和产业视角的产业人员。</w:t>
            </w:r>
          </w:p>
        </w:tc>
      </w:tr>
    </w:tbl>
    <w:p w14:paraId="5A37ED07"/>
    <w:p w14:paraId="3BD5E1A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18F0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30B94335">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1B383F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207CE80">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A485A62">
            <w:pPr>
              <w:spacing w:line="0" w:lineRule="atLeast"/>
              <w:jc w:val="center"/>
              <w:rPr>
                <w:rFonts w:hint="eastAsia" w:ascii="Times New Roman" w:hAnsi="Times New Roman" w:eastAsia="仿宋_GB2312"/>
                <w:sz w:val="28"/>
                <w:szCs w:val="28"/>
              </w:rPr>
            </w:pPr>
            <w:r>
              <w:rPr>
                <w:rFonts w:hint="eastAsia" w:ascii="Times New Roman" w:hAnsi="Times New Roman" w:eastAsia="仿宋_GB2312"/>
                <w:sz w:val="28"/>
                <w:szCs w:val="28"/>
              </w:rPr>
              <w:t>秦脆苹果栽培技术规程</w:t>
            </w:r>
          </w:p>
        </w:tc>
      </w:tr>
      <w:tr w14:paraId="049A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761C4B28">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11</w:t>
            </w:r>
          </w:p>
        </w:tc>
        <w:tc>
          <w:tcPr>
            <w:tcW w:w="1951" w:type="dxa"/>
            <w:vMerge w:val="restart"/>
            <w:noWrap w:val="0"/>
            <w:vAlign w:val="center"/>
          </w:tcPr>
          <w:p w14:paraId="1EB0E866">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ZJ2026036</w:t>
            </w:r>
          </w:p>
        </w:tc>
        <w:tc>
          <w:tcPr>
            <w:tcW w:w="2607" w:type="dxa"/>
            <w:noWrap w:val="0"/>
            <w:vAlign w:val="center"/>
          </w:tcPr>
          <w:p w14:paraId="0A070E8D">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73F13C0C">
            <w:pPr>
              <w:spacing w:line="0" w:lineRule="atLeast"/>
              <w:jc w:val="center"/>
              <w:rPr>
                <w:rFonts w:hint="eastAsia" w:ascii="Times New Roman" w:hAnsi="Times New Roman" w:eastAsia="仿宋_GB2312"/>
                <w:sz w:val="28"/>
                <w:szCs w:val="28"/>
              </w:rPr>
            </w:pPr>
            <w:r>
              <w:rPr>
                <w:rFonts w:hint="eastAsia" w:ascii="Times New Roman" w:hAnsi="Times New Roman" w:eastAsia="仿宋_GB2312"/>
                <w:sz w:val="28"/>
                <w:szCs w:val="28"/>
              </w:rPr>
              <w:t>推荐性地方标准</w:t>
            </w:r>
          </w:p>
        </w:tc>
      </w:tr>
      <w:tr w14:paraId="2215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59A85DD1">
            <w:pPr>
              <w:jc w:val="center"/>
              <w:rPr>
                <w:rFonts w:ascii="Times New Roman" w:hAnsi="Times New Roman"/>
                <w:sz w:val="28"/>
                <w:szCs w:val="28"/>
              </w:rPr>
            </w:pPr>
          </w:p>
        </w:tc>
        <w:tc>
          <w:tcPr>
            <w:tcW w:w="1951" w:type="dxa"/>
            <w:vMerge w:val="continue"/>
            <w:noWrap w:val="0"/>
            <w:vAlign w:val="center"/>
          </w:tcPr>
          <w:p w14:paraId="5EB838D6">
            <w:pPr>
              <w:jc w:val="center"/>
              <w:rPr>
                <w:rFonts w:ascii="Times New Roman" w:hAnsi="Times New Roman"/>
                <w:sz w:val="28"/>
                <w:szCs w:val="28"/>
              </w:rPr>
            </w:pPr>
          </w:p>
        </w:tc>
        <w:tc>
          <w:tcPr>
            <w:tcW w:w="2607" w:type="dxa"/>
            <w:noWrap w:val="0"/>
            <w:vAlign w:val="center"/>
          </w:tcPr>
          <w:p w14:paraId="45237378">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14BA90B">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3CD7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73570269">
            <w:pPr>
              <w:jc w:val="center"/>
              <w:rPr>
                <w:rFonts w:ascii="Times New Roman" w:hAnsi="Times New Roman"/>
                <w:sz w:val="28"/>
                <w:szCs w:val="28"/>
              </w:rPr>
            </w:pPr>
          </w:p>
        </w:tc>
        <w:tc>
          <w:tcPr>
            <w:tcW w:w="1951" w:type="dxa"/>
            <w:vMerge w:val="continue"/>
            <w:noWrap w:val="0"/>
            <w:vAlign w:val="center"/>
          </w:tcPr>
          <w:p w14:paraId="578FF56F">
            <w:pPr>
              <w:jc w:val="center"/>
              <w:rPr>
                <w:rFonts w:ascii="Times New Roman" w:hAnsi="Times New Roman"/>
                <w:sz w:val="28"/>
                <w:szCs w:val="28"/>
              </w:rPr>
            </w:pPr>
          </w:p>
        </w:tc>
        <w:tc>
          <w:tcPr>
            <w:tcW w:w="2607" w:type="dxa"/>
            <w:noWrap w:val="0"/>
            <w:vAlign w:val="center"/>
          </w:tcPr>
          <w:p w14:paraId="0B1C512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8B5ABF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本标准针对丘陵旱地秦脆苹果栽培进行规范，助推部分地区乡村振兴，促进苹果产业健康可持续发展。标准研制需从过程控制角度保障秦脆苹果品质。</w:t>
            </w:r>
          </w:p>
        </w:tc>
      </w:tr>
      <w:tr w14:paraId="0B5D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8" w:hRule="atLeast"/>
        </w:trPr>
        <w:tc>
          <w:tcPr>
            <w:tcW w:w="894" w:type="dxa"/>
            <w:vMerge w:val="continue"/>
            <w:noWrap w:val="0"/>
            <w:vAlign w:val="center"/>
          </w:tcPr>
          <w:p w14:paraId="2CD62A67">
            <w:pPr>
              <w:jc w:val="center"/>
              <w:rPr>
                <w:rFonts w:ascii="Times New Roman" w:hAnsi="Times New Roman"/>
                <w:sz w:val="28"/>
                <w:szCs w:val="28"/>
              </w:rPr>
            </w:pPr>
          </w:p>
        </w:tc>
        <w:tc>
          <w:tcPr>
            <w:tcW w:w="1951" w:type="dxa"/>
            <w:vMerge w:val="continue"/>
            <w:noWrap w:val="0"/>
            <w:vAlign w:val="center"/>
          </w:tcPr>
          <w:p w14:paraId="6570D7D1">
            <w:pPr>
              <w:jc w:val="center"/>
              <w:rPr>
                <w:rFonts w:ascii="Times New Roman" w:hAnsi="Times New Roman"/>
                <w:sz w:val="28"/>
                <w:szCs w:val="28"/>
              </w:rPr>
            </w:pPr>
          </w:p>
        </w:tc>
        <w:tc>
          <w:tcPr>
            <w:tcW w:w="2607" w:type="dxa"/>
            <w:noWrap w:val="0"/>
            <w:vAlign w:val="center"/>
          </w:tcPr>
          <w:p w14:paraId="22F49F0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1607615F">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起草</w:t>
            </w:r>
            <w:r>
              <w:rPr>
                <w:rFonts w:hint="eastAsia" w:ascii="仿宋_GB2312" w:hAnsi="仿宋_GB2312" w:eastAsia="仿宋_GB2312" w:cs="仿宋_GB2312"/>
                <w:sz w:val="24"/>
                <w:szCs w:val="24"/>
              </w:rPr>
              <w:t>团队应包含苹果栽培管理相关专业技术人员。</w:t>
            </w:r>
          </w:p>
        </w:tc>
      </w:tr>
    </w:tbl>
    <w:p w14:paraId="508EA2F3">
      <w:pPr>
        <w:jc w:val="center"/>
        <w:rPr>
          <w:rFonts w:hint="eastAsia" w:ascii="Times New Roman" w:hAnsi="Times New Roman" w:eastAsia="方正小标宋简体" w:cs="Times New Roman"/>
          <w:sz w:val="44"/>
          <w:szCs w:val="44"/>
          <w:lang w:val="en-US" w:eastAsia="zh-CN"/>
        </w:rPr>
      </w:pPr>
    </w:p>
    <w:p w14:paraId="566BF1F7">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8AE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6432421C">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4268FD65">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06FFB3C3">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758F9B2">
            <w:pPr>
              <w:jc w:val="center"/>
              <w:rPr>
                <w:rFonts w:ascii="Times New Roman" w:hAnsi="Times New Roman"/>
                <w:sz w:val="28"/>
                <w:szCs w:val="28"/>
              </w:rPr>
            </w:pPr>
            <w:r>
              <w:rPr>
                <w:rFonts w:hint="eastAsia" w:ascii="Times New Roman" w:hAnsi="Times New Roman" w:eastAsia="仿宋_GB2312"/>
                <w:sz w:val="28"/>
                <w:szCs w:val="28"/>
              </w:rPr>
              <w:t>野生酸枣抚育技术规程</w:t>
            </w:r>
          </w:p>
        </w:tc>
      </w:tr>
      <w:tr w14:paraId="0BA8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02753CE1">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12</w:t>
            </w:r>
          </w:p>
        </w:tc>
        <w:tc>
          <w:tcPr>
            <w:tcW w:w="1951" w:type="dxa"/>
            <w:vMerge w:val="restart"/>
            <w:noWrap w:val="0"/>
            <w:vAlign w:val="center"/>
          </w:tcPr>
          <w:p w14:paraId="7DFD363B">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ZJ2026037</w:t>
            </w:r>
          </w:p>
        </w:tc>
        <w:tc>
          <w:tcPr>
            <w:tcW w:w="2607" w:type="dxa"/>
            <w:noWrap w:val="0"/>
            <w:vAlign w:val="center"/>
          </w:tcPr>
          <w:p w14:paraId="49C3FFCA">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FE81DBD">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774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894" w:type="dxa"/>
            <w:vMerge w:val="continue"/>
            <w:noWrap w:val="0"/>
            <w:vAlign w:val="center"/>
          </w:tcPr>
          <w:p w14:paraId="25D488AB">
            <w:pPr>
              <w:jc w:val="center"/>
              <w:rPr>
                <w:rFonts w:ascii="Times New Roman" w:hAnsi="Times New Roman"/>
                <w:sz w:val="28"/>
                <w:szCs w:val="28"/>
              </w:rPr>
            </w:pPr>
          </w:p>
        </w:tc>
        <w:tc>
          <w:tcPr>
            <w:tcW w:w="1951" w:type="dxa"/>
            <w:vMerge w:val="continue"/>
            <w:noWrap w:val="0"/>
            <w:vAlign w:val="center"/>
          </w:tcPr>
          <w:p w14:paraId="5DB1A8F9">
            <w:pPr>
              <w:jc w:val="center"/>
              <w:rPr>
                <w:rFonts w:ascii="Times New Roman" w:hAnsi="Times New Roman"/>
                <w:sz w:val="28"/>
                <w:szCs w:val="28"/>
              </w:rPr>
            </w:pPr>
          </w:p>
        </w:tc>
        <w:tc>
          <w:tcPr>
            <w:tcW w:w="2607" w:type="dxa"/>
            <w:noWrap w:val="0"/>
            <w:vAlign w:val="center"/>
          </w:tcPr>
          <w:p w14:paraId="7AE0AD00">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4173A978">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89D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0" w:hRule="atLeast"/>
        </w:trPr>
        <w:tc>
          <w:tcPr>
            <w:tcW w:w="894" w:type="dxa"/>
            <w:vMerge w:val="continue"/>
            <w:noWrap w:val="0"/>
            <w:vAlign w:val="center"/>
          </w:tcPr>
          <w:p w14:paraId="0C5ECD9F">
            <w:pPr>
              <w:jc w:val="center"/>
              <w:rPr>
                <w:rFonts w:ascii="Times New Roman" w:hAnsi="Times New Roman"/>
                <w:sz w:val="28"/>
                <w:szCs w:val="28"/>
              </w:rPr>
            </w:pPr>
          </w:p>
        </w:tc>
        <w:tc>
          <w:tcPr>
            <w:tcW w:w="1951" w:type="dxa"/>
            <w:vMerge w:val="continue"/>
            <w:noWrap w:val="0"/>
            <w:vAlign w:val="center"/>
          </w:tcPr>
          <w:p w14:paraId="16414458">
            <w:pPr>
              <w:jc w:val="center"/>
              <w:rPr>
                <w:rFonts w:ascii="Times New Roman" w:hAnsi="Times New Roman"/>
                <w:sz w:val="28"/>
                <w:szCs w:val="28"/>
              </w:rPr>
            </w:pPr>
          </w:p>
        </w:tc>
        <w:tc>
          <w:tcPr>
            <w:tcW w:w="2607" w:type="dxa"/>
            <w:noWrap w:val="0"/>
            <w:vAlign w:val="center"/>
          </w:tcPr>
          <w:p w14:paraId="781366A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1079BC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r>
              <w:rPr>
                <w:rFonts w:hint="eastAsia" w:ascii="仿宋_GB2312" w:hAnsi="仿宋_GB2312" w:eastAsia="仿宋_GB2312" w:cs="仿宋_GB2312"/>
                <w:sz w:val="24"/>
                <w:szCs w:val="24"/>
                <w:lang w:eastAsia="zh-CN"/>
              </w:rPr>
              <w:t>标准</w:t>
            </w:r>
            <w:r>
              <w:rPr>
                <w:rFonts w:hint="eastAsia" w:ascii="仿宋_GB2312" w:hAnsi="仿宋_GB2312" w:eastAsia="仿宋_GB2312" w:cs="仿宋_GB2312"/>
                <w:sz w:val="24"/>
                <w:szCs w:val="24"/>
              </w:rPr>
              <w:t>针对酸枣林抚育管理、病虫害防治、树体复壮等关键环节予以规范，指导开展野生酸枣抚育管护，着力破解酸枣市场供给不足、野生酸枣资源濒临衰退、生境退化三大难题，实现生态保护、资源修复与综合利用、中药材规范化生产三重目标。</w:t>
            </w:r>
          </w:p>
        </w:tc>
      </w:tr>
      <w:tr w14:paraId="7FA5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4AD9B13A">
            <w:pPr>
              <w:jc w:val="center"/>
              <w:rPr>
                <w:rFonts w:ascii="Times New Roman" w:hAnsi="Times New Roman"/>
                <w:sz w:val="28"/>
                <w:szCs w:val="28"/>
              </w:rPr>
            </w:pPr>
          </w:p>
        </w:tc>
        <w:tc>
          <w:tcPr>
            <w:tcW w:w="1951" w:type="dxa"/>
            <w:vMerge w:val="continue"/>
            <w:noWrap w:val="0"/>
            <w:vAlign w:val="center"/>
          </w:tcPr>
          <w:p w14:paraId="2B5BAB3D">
            <w:pPr>
              <w:jc w:val="center"/>
              <w:rPr>
                <w:rFonts w:ascii="Times New Roman" w:hAnsi="Times New Roman"/>
                <w:sz w:val="28"/>
                <w:szCs w:val="28"/>
              </w:rPr>
            </w:pPr>
          </w:p>
        </w:tc>
        <w:tc>
          <w:tcPr>
            <w:tcW w:w="2607" w:type="dxa"/>
            <w:noWrap w:val="0"/>
            <w:vAlign w:val="center"/>
          </w:tcPr>
          <w:p w14:paraId="653980D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62BE3B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成员须长期从事枣、酸枣种质资源收集保存、鉴定评价与创新利用研究，研究方向与本标准核心领域高度契合。团队整体应具备扎实的研究基础，全面掌握国内外枣和酸枣资源技术发展现状、产业需求及发展趋势。</w:t>
            </w:r>
            <w:r>
              <w:rPr>
                <w:rFonts w:hint="eastAsia" w:ascii="仿宋_GB2312" w:hAnsi="仿宋_GB2312" w:eastAsia="仿宋_GB2312" w:cs="仿宋_GB2312"/>
                <w:sz w:val="24"/>
                <w:szCs w:val="24"/>
                <w:lang w:val="en-US" w:eastAsia="zh-CN"/>
              </w:rPr>
              <w:t>第一起草人</w:t>
            </w:r>
            <w:r>
              <w:rPr>
                <w:rFonts w:hint="eastAsia" w:ascii="仿宋_GB2312" w:hAnsi="仿宋_GB2312" w:eastAsia="仿宋_GB2312" w:cs="仿宋_GB2312"/>
                <w:sz w:val="24"/>
                <w:szCs w:val="24"/>
              </w:rPr>
              <w:t>应具有高级职称，为国家枣种质资源圃核心骨干，具备深厚技术功底、丰富管理经验及同类标准起草经历。</w:t>
            </w:r>
          </w:p>
        </w:tc>
      </w:tr>
    </w:tbl>
    <w:p w14:paraId="2086CACF">
      <w:pPr>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br w:type="page"/>
      </w:r>
    </w:p>
    <w:p w14:paraId="544DE82E">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0E8A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740E3CB1">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2F365432">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72AE9B36">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7250E4E4">
            <w:pPr>
              <w:jc w:val="center"/>
              <w:rPr>
                <w:rFonts w:ascii="Times New Roman" w:hAnsi="Times New Roman"/>
                <w:sz w:val="28"/>
                <w:szCs w:val="28"/>
              </w:rPr>
            </w:pPr>
            <w:r>
              <w:rPr>
                <w:rFonts w:hint="eastAsia" w:ascii="Times New Roman" w:hAnsi="Times New Roman" w:eastAsia="仿宋_GB2312"/>
                <w:sz w:val="28"/>
                <w:szCs w:val="28"/>
              </w:rPr>
              <w:t>酸枣苗木繁育技术规程</w:t>
            </w:r>
          </w:p>
        </w:tc>
      </w:tr>
      <w:tr w14:paraId="3706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4CA27D4">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13</w:t>
            </w:r>
          </w:p>
        </w:tc>
        <w:tc>
          <w:tcPr>
            <w:tcW w:w="1951" w:type="dxa"/>
            <w:vMerge w:val="restart"/>
            <w:noWrap w:val="0"/>
            <w:vAlign w:val="center"/>
          </w:tcPr>
          <w:p w14:paraId="2E78DBEB">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ZJ2026038</w:t>
            </w:r>
          </w:p>
        </w:tc>
        <w:tc>
          <w:tcPr>
            <w:tcW w:w="2607" w:type="dxa"/>
            <w:noWrap w:val="0"/>
            <w:vAlign w:val="center"/>
          </w:tcPr>
          <w:p w14:paraId="3B681C69">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A52452C">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5E2C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8592FA4">
            <w:pPr>
              <w:jc w:val="center"/>
              <w:rPr>
                <w:rFonts w:ascii="Times New Roman" w:hAnsi="Times New Roman"/>
                <w:sz w:val="28"/>
                <w:szCs w:val="28"/>
              </w:rPr>
            </w:pPr>
          </w:p>
        </w:tc>
        <w:tc>
          <w:tcPr>
            <w:tcW w:w="1951" w:type="dxa"/>
            <w:vMerge w:val="continue"/>
            <w:noWrap w:val="0"/>
            <w:vAlign w:val="center"/>
          </w:tcPr>
          <w:p w14:paraId="4F90B11E">
            <w:pPr>
              <w:jc w:val="center"/>
              <w:rPr>
                <w:rFonts w:ascii="Times New Roman" w:hAnsi="Times New Roman"/>
                <w:sz w:val="28"/>
                <w:szCs w:val="28"/>
              </w:rPr>
            </w:pPr>
          </w:p>
        </w:tc>
        <w:tc>
          <w:tcPr>
            <w:tcW w:w="2607" w:type="dxa"/>
            <w:noWrap w:val="0"/>
            <w:vAlign w:val="center"/>
          </w:tcPr>
          <w:p w14:paraId="6861EE38">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7F50AA24">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4A89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894" w:type="dxa"/>
            <w:vMerge w:val="continue"/>
            <w:noWrap w:val="0"/>
            <w:vAlign w:val="center"/>
          </w:tcPr>
          <w:p w14:paraId="403AC009">
            <w:pPr>
              <w:jc w:val="center"/>
              <w:rPr>
                <w:rFonts w:ascii="Times New Roman" w:hAnsi="Times New Roman"/>
                <w:sz w:val="28"/>
                <w:szCs w:val="28"/>
              </w:rPr>
            </w:pPr>
          </w:p>
        </w:tc>
        <w:tc>
          <w:tcPr>
            <w:tcW w:w="1951" w:type="dxa"/>
            <w:vMerge w:val="continue"/>
            <w:noWrap w:val="0"/>
            <w:vAlign w:val="center"/>
          </w:tcPr>
          <w:p w14:paraId="397D0FBD">
            <w:pPr>
              <w:jc w:val="center"/>
              <w:rPr>
                <w:rFonts w:ascii="Times New Roman" w:hAnsi="Times New Roman"/>
                <w:sz w:val="28"/>
                <w:szCs w:val="28"/>
              </w:rPr>
            </w:pPr>
          </w:p>
        </w:tc>
        <w:tc>
          <w:tcPr>
            <w:tcW w:w="2607" w:type="dxa"/>
            <w:noWrap w:val="0"/>
            <w:vAlign w:val="center"/>
          </w:tcPr>
          <w:p w14:paraId="3E2FB2E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43B51C4A">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本标准针对酸枣苗木繁育全过程管理予以规范，满足提升酸枣仁等中药材种子种苗扩繁生产能力、集成推广统一栽培技术等产业需求，响应省政府推进中药材产业高质量发展的政策要求。</w:t>
            </w:r>
          </w:p>
        </w:tc>
      </w:tr>
      <w:tr w14:paraId="59309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1" w:hRule="atLeast"/>
        </w:trPr>
        <w:tc>
          <w:tcPr>
            <w:tcW w:w="894" w:type="dxa"/>
            <w:vMerge w:val="continue"/>
            <w:noWrap w:val="0"/>
            <w:vAlign w:val="center"/>
          </w:tcPr>
          <w:p w14:paraId="3F0B0F92">
            <w:pPr>
              <w:jc w:val="center"/>
              <w:rPr>
                <w:rFonts w:ascii="Times New Roman" w:hAnsi="Times New Roman"/>
                <w:sz w:val="28"/>
                <w:szCs w:val="28"/>
              </w:rPr>
            </w:pPr>
          </w:p>
        </w:tc>
        <w:tc>
          <w:tcPr>
            <w:tcW w:w="1951" w:type="dxa"/>
            <w:vMerge w:val="continue"/>
            <w:noWrap w:val="0"/>
            <w:vAlign w:val="center"/>
          </w:tcPr>
          <w:p w14:paraId="5554C527">
            <w:pPr>
              <w:jc w:val="center"/>
              <w:rPr>
                <w:rFonts w:ascii="Times New Roman" w:hAnsi="Times New Roman"/>
                <w:sz w:val="28"/>
                <w:szCs w:val="28"/>
              </w:rPr>
            </w:pPr>
          </w:p>
        </w:tc>
        <w:tc>
          <w:tcPr>
            <w:tcW w:w="2607" w:type="dxa"/>
            <w:noWrap w:val="0"/>
            <w:vAlign w:val="center"/>
          </w:tcPr>
          <w:p w14:paraId="43916FBC">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927098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成员须长期从事枣、酸枣种质资源收集保存、鉴定评价与创新利用研究，研究方向与本标准核心领域高度契合。团队整体应具备扎实的研究基础，全面掌握国内外枣和酸枣资源技术发展现状、产业需求及发展趋势，能够结合产业实际应用场景，编制科学合理、可落地实施的标准条款。</w:t>
            </w:r>
            <w:r>
              <w:rPr>
                <w:rFonts w:hint="eastAsia" w:ascii="仿宋_GB2312" w:hAnsi="仿宋_GB2312" w:eastAsia="仿宋_GB2312" w:cs="仿宋_GB2312"/>
                <w:sz w:val="24"/>
                <w:szCs w:val="24"/>
                <w:lang w:val="en-US" w:eastAsia="zh-CN"/>
              </w:rPr>
              <w:t>第一起草</w:t>
            </w:r>
            <w:r>
              <w:rPr>
                <w:rFonts w:hint="eastAsia" w:ascii="仿宋_GB2312" w:hAnsi="仿宋_GB2312" w:eastAsia="仿宋_GB2312" w:cs="仿宋_GB2312"/>
                <w:sz w:val="24"/>
                <w:szCs w:val="24"/>
              </w:rPr>
              <w:t>人应具有高级职称，为国家枣种质资源圃核心骨干，具备深厚技术功底、丰富管理经验及同类标准起草经历，熟练掌握标准文本编写规范。</w:t>
            </w:r>
          </w:p>
        </w:tc>
      </w:tr>
    </w:tbl>
    <w:p w14:paraId="69FAB952">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1869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CD693F1">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2B04F0C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ED3CB3B">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00A9DC12">
            <w:pPr>
              <w:jc w:val="center"/>
              <w:rPr>
                <w:rFonts w:ascii="Times New Roman" w:hAnsi="Times New Roman"/>
                <w:sz w:val="28"/>
                <w:szCs w:val="28"/>
              </w:rPr>
            </w:pPr>
            <w:r>
              <w:rPr>
                <w:rFonts w:hint="eastAsia" w:ascii="Times New Roman" w:hAnsi="Times New Roman" w:eastAsia="仿宋_GB2312"/>
                <w:sz w:val="28"/>
                <w:szCs w:val="28"/>
              </w:rPr>
              <w:t>乔化苹果园矮砧桥接技术规程</w:t>
            </w:r>
          </w:p>
        </w:tc>
      </w:tr>
      <w:tr w14:paraId="28FC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490ABDD7">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14</w:t>
            </w:r>
          </w:p>
        </w:tc>
        <w:tc>
          <w:tcPr>
            <w:tcW w:w="1951" w:type="dxa"/>
            <w:vMerge w:val="restart"/>
            <w:noWrap w:val="0"/>
            <w:vAlign w:val="center"/>
          </w:tcPr>
          <w:p w14:paraId="72130128">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ZJ2026039</w:t>
            </w:r>
          </w:p>
        </w:tc>
        <w:tc>
          <w:tcPr>
            <w:tcW w:w="2607" w:type="dxa"/>
            <w:noWrap w:val="0"/>
            <w:vAlign w:val="center"/>
          </w:tcPr>
          <w:p w14:paraId="5470EEFF">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FED485C">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9E2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4703AF00">
            <w:pPr>
              <w:jc w:val="center"/>
              <w:rPr>
                <w:rFonts w:ascii="Times New Roman" w:hAnsi="Times New Roman"/>
                <w:sz w:val="28"/>
                <w:szCs w:val="28"/>
              </w:rPr>
            </w:pPr>
          </w:p>
        </w:tc>
        <w:tc>
          <w:tcPr>
            <w:tcW w:w="1951" w:type="dxa"/>
            <w:vMerge w:val="continue"/>
            <w:noWrap w:val="0"/>
            <w:vAlign w:val="center"/>
          </w:tcPr>
          <w:p w14:paraId="12E86D02">
            <w:pPr>
              <w:jc w:val="center"/>
              <w:rPr>
                <w:rFonts w:ascii="Times New Roman" w:hAnsi="Times New Roman"/>
                <w:sz w:val="28"/>
                <w:szCs w:val="28"/>
              </w:rPr>
            </w:pPr>
          </w:p>
        </w:tc>
        <w:tc>
          <w:tcPr>
            <w:tcW w:w="2607" w:type="dxa"/>
            <w:noWrap w:val="0"/>
            <w:vAlign w:val="center"/>
          </w:tcPr>
          <w:p w14:paraId="3F19972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39D5D2B5">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465A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0006016C">
            <w:pPr>
              <w:jc w:val="center"/>
              <w:rPr>
                <w:rFonts w:ascii="Times New Roman" w:hAnsi="Times New Roman"/>
                <w:sz w:val="28"/>
                <w:szCs w:val="28"/>
              </w:rPr>
            </w:pPr>
          </w:p>
        </w:tc>
        <w:tc>
          <w:tcPr>
            <w:tcW w:w="1951" w:type="dxa"/>
            <w:vMerge w:val="continue"/>
            <w:noWrap w:val="0"/>
            <w:vAlign w:val="center"/>
          </w:tcPr>
          <w:p w14:paraId="0CD9C166">
            <w:pPr>
              <w:jc w:val="center"/>
              <w:rPr>
                <w:rFonts w:ascii="Times New Roman" w:hAnsi="Times New Roman"/>
                <w:sz w:val="28"/>
                <w:szCs w:val="28"/>
              </w:rPr>
            </w:pPr>
          </w:p>
        </w:tc>
        <w:tc>
          <w:tcPr>
            <w:tcW w:w="2607" w:type="dxa"/>
            <w:noWrap w:val="0"/>
            <w:vAlign w:val="center"/>
          </w:tcPr>
          <w:p w14:paraId="224D5F62">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47FEB24A">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w:t>
            </w:r>
            <w:r>
              <w:rPr>
                <w:rFonts w:hint="eastAsia" w:ascii="仿宋_GB2312" w:hAnsi="仿宋_GB2312" w:eastAsia="仿宋_GB2312" w:cs="仿宋_GB2312"/>
                <w:sz w:val="24"/>
                <w:szCs w:val="24"/>
                <w:lang w:eastAsia="zh-CN"/>
              </w:rPr>
              <w:t>应</w:t>
            </w:r>
            <w:r>
              <w:rPr>
                <w:rFonts w:hint="eastAsia" w:ascii="仿宋_GB2312" w:hAnsi="仿宋_GB2312" w:eastAsia="仿宋_GB2312" w:cs="仿宋_GB2312"/>
                <w:sz w:val="24"/>
                <w:szCs w:val="24"/>
              </w:rPr>
              <w:t>明确园地与树体选择、嫁接方法、接后管理、树形转换等各环节的技术要求与参数，规范作业流程，确保技术改造的成功率与稳定性，降低因技术不当导致的树体损伤、病害感染或改造失败风险，保障果园长期效益。</w:t>
            </w:r>
          </w:p>
        </w:tc>
      </w:tr>
      <w:tr w14:paraId="4D36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8" w:hRule="atLeast"/>
        </w:trPr>
        <w:tc>
          <w:tcPr>
            <w:tcW w:w="894" w:type="dxa"/>
            <w:vMerge w:val="continue"/>
            <w:noWrap w:val="0"/>
            <w:vAlign w:val="center"/>
          </w:tcPr>
          <w:p w14:paraId="71D368C2">
            <w:pPr>
              <w:jc w:val="center"/>
              <w:rPr>
                <w:rFonts w:ascii="Times New Roman" w:hAnsi="Times New Roman"/>
                <w:sz w:val="28"/>
                <w:szCs w:val="28"/>
              </w:rPr>
            </w:pPr>
          </w:p>
        </w:tc>
        <w:tc>
          <w:tcPr>
            <w:tcW w:w="1951" w:type="dxa"/>
            <w:vMerge w:val="continue"/>
            <w:noWrap w:val="0"/>
            <w:vAlign w:val="center"/>
          </w:tcPr>
          <w:p w14:paraId="735446C8">
            <w:pPr>
              <w:jc w:val="center"/>
              <w:rPr>
                <w:rFonts w:ascii="Times New Roman" w:hAnsi="Times New Roman"/>
                <w:sz w:val="28"/>
                <w:szCs w:val="28"/>
              </w:rPr>
            </w:pPr>
          </w:p>
        </w:tc>
        <w:tc>
          <w:tcPr>
            <w:tcW w:w="2607" w:type="dxa"/>
            <w:noWrap w:val="0"/>
            <w:vAlign w:val="center"/>
          </w:tcPr>
          <w:p w14:paraId="453AE961">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B6A939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由省级以上苹果产业技术体系专家、长期从事苹果砧木育种与栽培生理研究的科研人员、具有丰富一线实践经验的市级县级果树技术推广专家，以及代表性果业合作社或龙头企业的高级技术人员共同组成。团队须具备扎实的果树学理论基础和丰富的乔化园改造实操经验。</w:t>
            </w:r>
          </w:p>
        </w:tc>
      </w:tr>
    </w:tbl>
    <w:p w14:paraId="24420FE1"/>
    <w:p w14:paraId="78ECFA55">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2B5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2DA38778">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6FCBD3A">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55C1EDE">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7AAD3F3A">
            <w:pPr>
              <w:jc w:val="center"/>
              <w:rPr>
                <w:rFonts w:ascii="Times New Roman" w:hAnsi="Times New Roman"/>
                <w:sz w:val="28"/>
                <w:szCs w:val="28"/>
              </w:rPr>
            </w:pPr>
            <w:r>
              <w:rPr>
                <w:rFonts w:hint="eastAsia" w:ascii="Times New Roman" w:hAnsi="Times New Roman" w:eastAsia="仿宋_GB2312"/>
                <w:sz w:val="28"/>
                <w:szCs w:val="28"/>
              </w:rPr>
              <w:t>海红果栽培技术规程</w:t>
            </w:r>
          </w:p>
        </w:tc>
      </w:tr>
      <w:tr w14:paraId="2CCD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31183747">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15</w:t>
            </w:r>
          </w:p>
        </w:tc>
        <w:tc>
          <w:tcPr>
            <w:tcW w:w="1951" w:type="dxa"/>
            <w:vMerge w:val="restart"/>
            <w:noWrap w:val="0"/>
            <w:vAlign w:val="center"/>
          </w:tcPr>
          <w:p w14:paraId="76E2CECC">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ZJ2026040</w:t>
            </w:r>
          </w:p>
        </w:tc>
        <w:tc>
          <w:tcPr>
            <w:tcW w:w="2607" w:type="dxa"/>
            <w:noWrap w:val="0"/>
            <w:vAlign w:val="center"/>
          </w:tcPr>
          <w:p w14:paraId="2CCDB7CB">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17CDBED">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B3E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231A346A">
            <w:pPr>
              <w:jc w:val="center"/>
              <w:rPr>
                <w:rFonts w:ascii="Times New Roman" w:hAnsi="Times New Roman"/>
                <w:sz w:val="28"/>
                <w:szCs w:val="28"/>
              </w:rPr>
            </w:pPr>
          </w:p>
        </w:tc>
        <w:tc>
          <w:tcPr>
            <w:tcW w:w="1951" w:type="dxa"/>
            <w:vMerge w:val="continue"/>
            <w:noWrap w:val="0"/>
            <w:vAlign w:val="center"/>
          </w:tcPr>
          <w:p w14:paraId="019B3F7F">
            <w:pPr>
              <w:jc w:val="center"/>
              <w:rPr>
                <w:rFonts w:ascii="Times New Roman" w:hAnsi="Times New Roman"/>
                <w:sz w:val="28"/>
                <w:szCs w:val="28"/>
              </w:rPr>
            </w:pPr>
          </w:p>
        </w:tc>
        <w:tc>
          <w:tcPr>
            <w:tcW w:w="2607" w:type="dxa"/>
            <w:noWrap w:val="0"/>
            <w:vAlign w:val="center"/>
          </w:tcPr>
          <w:p w14:paraId="479F6FCE">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DCEA2A2">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1BE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00" w:hRule="atLeast"/>
        </w:trPr>
        <w:tc>
          <w:tcPr>
            <w:tcW w:w="894" w:type="dxa"/>
            <w:vMerge w:val="continue"/>
            <w:noWrap w:val="0"/>
            <w:vAlign w:val="center"/>
          </w:tcPr>
          <w:p w14:paraId="4DCEF089">
            <w:pPr>
              <w:jc w:val="center"/>
              <w:rPr>
                <w:rFonts w:ascii="Times New Roman" w:hAnsi="Times New Roman"/>
                <w:sz w:val="28"/>
                <w:szCs w:val="28"/>
              </w:rPr>
            </w:pPr>
          </w:p>
        </w:tc>
        <w:tc>
          <w:tcPr>
            <w:tcW w:w="1951" w:type="dxa"/>
            <w:vMerge w:val="continue"/>
            <w:noWrap w:val="0"/>
            <w:vAlign w:val="center"/>
          </w:tcPr>
          <w:p w14:paraId="43639705">
            <w:pPr>
              <w:jc w:val="center"/>
              <w:rPr>
                <w:rFonts w:ascii="Times New Roman" w:hAnsi="Times New Roman"/>
                <w:sz w:val="28"/>
                <w:szCs w:val="28"/>
              </w:rPr>
            </w:pPr>
          </w:p>
        </w:tc>
        <w:tc>
          <w:tcPr>
            <w:tcW w:w="2607" w:type="dxa"/>
            <w:noWrap w:val="0"/>
            <w:vAlign w:val="center"/>
          </w:tcPr>
          <w:p w14:paraId="32A3DDEC">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62FE481">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从海红果育苗到采收贮藏全流程予以规范指导，着力解决产业发展不均衡、果农种植多依赖经验、管理粗放、技术不统一等导致的果品质量参差不齐、产量不稳定等问题，推动产业从分散化、经验化向标准化、科学化转变。</w:t>
            </w:r>
          </w:p>
        </w:tc>
      </w:tr>
      <w:tr w14:paraId="3ABE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70" w:hRule="atLeast"/>
        </w:trPr>
        <w:tc>
          <w:tcPr>
            <w:tcW w:w="894" w:type="dxa"/>
            <w:vMerge w:val="continue"/>
            <w:noWrap w:val="0"/>
            <w:vAlign w:val="center"/>
          </w:tcPr>
          <w:p w14:paraId="014D8DF2">
            <w:pPr>
              <w:jc w:val="center"/>
              <w:rPr>
                <w:rFonts w:ascii="Times New Roman" w:hAnsi="Times New Roman"/>
                <w:sz w:val="28"/>
                <w:szCs w:val="28"/>
              </w:rPr>
            </w:pPr>
          </w:p>
        </w:tc>
        <w:tc>
          <w:tcPr>
            <w:tcW w:w="1951" w:type="dxa"/>
            <w:vMerge w:val="continue"/>
            <w:noWrap w:val="0"/>
            <w:vAlign w:val="center"/>
          </w:tcPr>
          <w:p w14:paraId="303147CD">
            <w:pPr>
              <w:jc w:val="center"/>
              <w:rPr>
                <w:rFonts w:ascii="Times New Roman" w:hAnsi="Times New Roman"/>
                <w:sz w:val="28"/>
                <w:szCs w:val="28"/>
              </w:rPr>
            </w:pPr>
          </w:p>
        </w:tc>
        <w:tc>
          <w:tcPr>
            <w:tcW w:w="2607" w:type="dxa"/>
            <w:noWrap w:val="0"/>
            <w:vAlign w:val="center"/>
          </w:tcPr>
          <w:p w14:paraId="68DD9F8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300F756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起草团队应由具备果树栽培、土壤肥料、植物保护、农业标准化等专业背景的技术人员组成，</w:t>
            </w:r>
            <w:r>
              <w:rPr>
                <w:rFonts w:hint="eastAsia" w:ascii="仿宋_GB2312" w:hAnsi="仿宋_GB2312" w:eastAsia="仿宋_GB2312" w:cs="仿宋_GB2312"/>
                <w:sz w:val="24"/>
                <w:szCs w:val="24"/>
                <w:lang w:val="en-US" w:eastAsia="zh-CN"/>
              </w:rPr>
              <w:t>团队中</w:t>
            </w:r>
            <w:r>
              <w:rPr>
                <w:rFonts w:hint="eastAsia" w:ascii="仿宋_GB2312" w:hAnsi="仿宋_GB2312" w:eastAsia="仿宋_GB2312" w:cs="仿宋_GB2312"/>
                <w:sz w:val="24"/>
                <w:szCs w:val="24"/>
              </w:rPr>
              <w:t>需有10年以上海红果产区一线实践经验</w:t>
            </w:r>
            <w:r>
              <w:rPr>
                <w:rFonts w:hint="eastAsia" w:ascii="仿宋_GB2312" w:hAnsi="仿宋_GB2312" w:eastAsia="仿宋_GB2312" w:cs="仿宋_GB2312"/>
                <w:sz w:val="24"/>
                <w:szCs w:val="24"/>
                <w:lang w:val="en-US" w:eastAsia="zh-CN"/>
              </w:rPr>
              <w:t>人员</w:t>
            </w:r>
            <w:r>
              <w:rPr>
                <w:rFonts w:hint="eastAsia" w:ascii="仿宋_GB2312" w:hAnsi="仿宋_GB2312" w:eastAsia="仿宋_GB2312" w:cs="仿宋_GB2312"/>
                <w:sz w:val="24"/>
                <w:szCs w:val="24"/>
              </w:rPr>
              <w:t>。主要起草人应长期服务于海红果主产区，熟悉当地气候、土壤及传统种植模式，能精准识别生产痛点。</w:t>
            </w:r>
            <w:r>
              <w:rPr>
                <w:rFonts w:hint="eastAsia" w:ascii="仿宋_GB2312" w:hAnsi="仿宋_GB2312" w:eastAsia="仿宋_GB2312" w:cs="仿宋_GB2312"/>
                <w:sz w:val="24"/>
                <w:szCs w:val="24"/>
                <w:lang w:val="en-US" w:eastAsia="zh-CN"/>
              </w:rPr>
              <w:t>主要起草人中</w:t>
            </w:r>
            <w:r>
              <w:rPr>
                <w:rFonts w:hint="eastAsia" w:ascii="仿宋_GB2312" w:hAnsi="仿宋_GB2312" w:eastAsia="仿宋_GB2312" w:cs="仿宋_GB2312"/>
                <w:sz w:val="24"/>
                <w:szCs w:val="24"/>
              </w:rPr>
              <w:t>须</w:t>
            </w:r>
            <w:r>
              <w:rPr>
                <w:rFonts w:hint="eastAsia" w:ascii="仿宋_GB2312" w:hAnsi="仿宋_GB2312" w:eastAsia="仿宋_GB2312" w:cs="仿宋_GB2312"/>
                <w:sz w:val="24"/>
                <w:szCs w:val="24"/>
                <w:lang w:val="en-US" w:eastAsia="zh-CN"/>
              </w:rPr>
              <w:t>有</w:t>
            </w:r>
            <w:r>
              <w:rPr>
                <w:rFonts w:hint="eastAsia" w:ascii="仿宋_GB2312" w:hAnsi="仿宋_GB2312" w:eastAsia="仿宋_GB2312" w:cs="仿宋_GB2312"/>
                <w:sz w:val="24"/>
                <w:szCs w:val="24"/>
              </w:rPr>
              <w:t>参与过省级以上果树类农业标准制定</w:t>
            </w:r>
            <w:r>
              <w:rPr>
                <w:rFonts w:hint="eastAsia" w:ascii="仿宋_GB2312" w:hAnsi="仿宋_GB2312" w:eastAsia="仿宋_GB2312" w:cs="仿宋_GB2312"/>
                <w:sz w:val="24"/>
                <w:szCs w:val="24"/>
                <w:lang w:val="en-US" w:eastAsia="zh-CN"/>
              </w:rPr>
              <w:t>经验</w:t>
            </w:r>
            <w:r>
              <w:rPr>
                <w:rFonts w:hint="eastAsia" w:ascii="仿宋_GB2312" w:hAnsi="仿宋_GB2312" w:eastAsia="仿宋_GB2312" w:cs="仿宋_GB2312"/>
                <w:sz w:val="24"/>
                <w:szCs w:val="24"/>
              </w:rPr>
              <w:t>。同时，团队应联合企业代表增强规程的产业适配性，吸纳县级农技推广骨干，保障技术落地性与农户可操作性。</w:t>
            </w:r>
          </w:p>
        </w:tc>
      </w:tr>
    </w:tbl>
    <w:p w14:paraId="28A6FC49"/>
    <w:p w14:paraId="33A984B2">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1D0C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677DFE5">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1781001">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F361FA9">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1E215271">
            <w:pPr>
              <w:jc w:val="center"/>
              <w:rPr>
                <w:rFonts w:ascii="Times New Roman" w:hAnsi="Times New Roman"/>
                <w:sz w:val="28"/>
                <w:szCs w:val="28"/>
              </w:rPr>
            </w:pPr>
            <w:r>
              <w:rPr>
                <w:rFonts w:hint="eastAsia" w:ascii="Times New Roman" w:hAnsi="Times New Roman" w:eastAsia="仿宋_GB2312"/>
                <w:sz w:val="28"/>
                <w:szCs w:val="28"/>
              </w:rPr>
              <w:t>苹果矮砧密植栽培管理技术规程</w:t>
            </w:r>
          </w:p>
        </w:tc>
      </w:tr>
      <w:tr w14:paraId="611C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D0E8FC1">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16</w:t>
            </w:r>
          </w:p>
        </w:tc>
        <w:tc>
          <w:tcPr>
            <w:tcW w:w="1951" w:type="dxa"/>
            <w:vMerge w:val="restart"/>
            <w:noWrap w:val="0"/>
            <w:vAlign w:val="center"/>
          </w:tcPr>
          <w:p w14:paraId="5256E305">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ZJ2026041</w:t>
            </w:r>
          </w:p>
        </w:tc>
        <w:tc>
          <w:tcPr>
            <w:tcW w:w="2607" w:type="dxa"/>
            <w:noWrap w:val="0"/>
            <w:vAlign w:val="center"/>
          </w:tcPr>
          <w:p w14:paraId="67842F9E">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BDB3F77">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2CB2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4B6EB88E">
            <w:pPr>
              <w:jc w:val="center"/>
              <w:rPr>
                <w:rFonts w:ascii="Times New Roman" w:hAnsi="Times New Roman"/>
                <w:sz w:val="28"/>
                <w:szCs w:val="28"/>
              </w:rPr>
            </w:pPr>
          </w:p>
        </w:tc>
        <w:tc>
          <w:tcPr>
            <w:tcW w:w="1951" w:type="dxa"/>
            <w:vMerge w:val="continue"/>
            <w:noWrap w:val="0"/>
            <w:vAlign w:val="center"/>
          </w:tcPr>
          <w:p w14:paraId="7FC5A187">
            <w:pPr>
              <w:jc w:val="center"/>
              <w:rPr>
                <w:rFonts w:ascii="Times New Roman" w:hAnsi="Times New Roman"/>
                <w:sz w:val="28"/>
                <w:szCs w:val="28"/>
              </w:rPr>
            </w:pPr>
          </w:p>
        </w:tc>
        <w:tc>
          <w:tcPr>
            <w:tcW w:w="2607" w:type="dxa"/>
            <w:noWrap w:val="0"/>
            <w:vAlign w:val="center"/>
          </w:tcPr>
          <w:p w14:paraId="03798B29">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19A0C8E">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752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4" w:hRule="atLeast"/>
        </w:trPr>
        <w:tc>
          <w:tcPr>
            <w:tcW w:w="894" w:type="dxa"/>
            <w:vMerge w:val="continue"/>
            <w:noWrap w:val="0"/>
            <w:vAlign w:val="center"/>
          </w:tcPr>
          <w:p w14:paraId="0719D52D">
            <w:pPr>
              <w:jc w:val="center"/>
              <w:rPr>
                <w:rFonts w:ascii="Times New Roman" w:hAnsi="Times New Roman"/>
                <w:sz w:val="28"/>
                <w:szCs w:val="28"/>
              </w:rPr>
            </w:pPr>
          </w:p>
        </w:tc>
        <w:tc>
          <w:tcPr>
            <w:tcW w:w="1951" w:type="dxa"/>
            <w:vMerge w:val="continue"/>
            <w:noWrap w:val="0"/>
            <w:vAlign w:val="center"/>
          </w:tcPr>
          <w:p w14:paraId="1E900ECA">
            <w:pPr>
              <w:jc w:val="center"/>
              <w:rPr>
                <w:rFonts w:ascii="Times New Roman" w:hAnsi="Times New Roman"/>
                <w:sz w:val="28"/>
                <w:szCs w:val="28"/>
              </w:rPr>
            </w:pPr>
          </w:p>
        </w:tc>
        <w:tc>
          <w:tcPr>
            <w:tcW w:w="2607" w:type="dxa"/>
            <w:noWrap w:val="0"/>
            <w:vAlign w:val="center"/>
          </w:tcPr>
          <w:p w14:paraId="58AA746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2FD88E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针对苹果矮砧密植栽培全程生产管理提出指导，规范苗木选择、建园密度、土肥水管理、整形修剪、防灾减灾、机械配套等关键环节，以期规范生产流程、统一技术路径、保障产业可持续高质量发展。标准研制需与现行农业行业标准《矮砧苹果栽培技术规程》（NY/T 3684-2020）协调一致，同时突出山西地域特色的相关技术要求。</w:t>
            </w:r>
          </w:p>
        </w:tc>
      </w:tr>
      <w:tr w14:paraId="11A6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trPr>
        <w:tc>
          <w:tcPr>
            <w:tcW w:w="894" w:type="dxa"/>
            <w:vMerge w:val="continue"/>
            <w:noWrap w:val="0"/>
            <w:vAlign w:val="center"/>
          </w:tcPr>
          <w:p w14:paraId="0F002AD0">
            <w:pPr>
              <w:jc w:val="center"/>
              <w:rPr>
                <w:rFonts w:ascii="Times New Roman" w:hAnsi="Times New Roman"/>
                <w:sz w:val="28"/>
                <w:szCs w:val="28"/>
              </w:rPr>
            </w:pPr>
          </w:p>
        </w:tc>
        <w:tc>
          <w:tcPr>
            <w:tcW w:w="1951" w:type="dxa"/>
            <w:vMerge w:val="continue"/>
            <w:noWrap w:val="0"/>
            <w:vAlign w:val="center"/>
          </w:tcPr>
          <w:p w14:paraId="6800A748">
            <w:pPr>
              <w:jc w:val="center"/>
              <w:rPr>
                <w:rFonts w:ascii="Times New Roman" w:hAnsi="Times New Roman"/>
                <w:sz w:val="28"/>
                <w:szCs w:val="28"/>
              </w:rPr>
            </w:pPr>
          </w:p>
        </w:tc>
        <w:tc>
          <w:tcPr>
            <w:tcW w:w="2607" w:type="dxa"/>
            <w:noWrap w:val="0"/>
            <w:vAlign w:val="center"/>
          </w:tcPr>
          <w:p w14:paraId="6EE6937F">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7A7EC3C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起草</w:t>
            </w:r>
            <w:r>
              <w:rPr>
                <w:rFonts w:hint="eastAsia" w:ascii="仿宋_GB2312" w:hAnsi="仿宋_GB2312" w:eastAsia="仿宋_GB2312" w:cs="仿宋_GB2312"/>
                <w:sz w:val="24"/>
                <w:szCs w:val="24"/>
              </w:rPr>
              <w:t>团队需涵盖果树栽培、土肥、植保、气象防灾、农业机械化、农产品质量安全等多领域专业。</w:t>
            </w:r>
            <w:r>
              <w:rPr>
                <w:rFonts w:hint="eastAsia" w:ascii="仿宋_GB2312" w:hAnsi="仿宋_GB2312" w:eastAsia="仿宋_GB2312" w:cs="仿宋_GB2312"/>
                <w:sz w:val="24"/>
                <w:szCs w:val="24"/>
                <w:lang w:val="en-US" w:eastAsia="zh-CN"/>
              </w:rPr>
              <w:t>团队</w:t>
            </w:r>
            <w:r>
              <w:rPr>
                <w:rFonts w:hint="eastAsia" w:ascii="仿宋_GB2312" w:hAnsi="仿宋_GB2312" w:eastAsia="仿宋_GB2312" w:cs="仿宋_GB2312"/>
                <w:sz w:val="24"/>
                <w:szCs w:val="24"/>
              </w:rPr>
              <w:t>成员需包含高等院校与科研院所果树专家、市级及县级果业技术推广骨干、苹果主产区技术人员、龙头企业与合作社一线生产负责人。优先吸纳长期从事矮砧密植试验示范、老旧果园改造、防灾减灾技术研究的专业技术人员。</w:t>
            </w:r>
          </w:p>
        </w:tc>
      </w:tr>
    </w:tbl>
    <w:p w14:paraId="29712E1D">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F11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6DD114A9">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1DCDCB0">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0FB0AF7">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7C6493DF">
            <w:pPr>
              <w:jc w:val="center"/>
              <w:rPr>
                <w:rFonts w:ascii="Times New Roman" w:hAnsi="Times New Roman"/>
                <w:sz w:val="28"/>
                <w:szCs w:val="28"/>
              </w:rPr>
            </w:pPr>
            <w:r>
              <w:rPr>
                <w:rFonts w:hint="eastAsia" w:ascii="Times New Roman" w:hAnsi="Times New Roman" w:eastAsia="仿宋_GB2312"/>
                <w:sz w:val="28"/>
                <w:szCs w:val="28"/>
              </w:rPr>
              <w:t>梨旱地节水栽培技术规程</w:t>
            </w:r>
          </w:p>
        </w:tc>
      </w:tr>
      <w:tr w14:paraId="7CF2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456CC7F4">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17</w:t>
            </w:r>
          </w:p>
        </w:tc>
        <w:tc>
          <w:tcPr>
            <w:tcW w:w="1951" w:type="dxa"/>
            <w:vMerge w:val="restart"/>
            <w:noWrap w:val="0"/>
            <w:vAlign w:val="center"/>
          </w:tcPr>
          <w:p w14:paraId="35C83F9E">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ZJ2026042</w:t>
            </w:r>
          </w:p>
        </w:tc>
        <w:tc>
          <w:tcPr>
            <w:tcW w:w="2607" w:type="dxa"/>
            <w:noWrap w:val="0"/>
            <w:vAlign w:val="center"/>
          </w:tcPr>
          <w:p w14:paraId="515C82C1">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92F55FB">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638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667C0664">
            <w:pPr>
              <w:jc w:val="center"/>
              <w:rPr>
                <w:rFonts w:ascii="Times New Roman" w:hAnsi="Times New Roman"/>
                <w:sz w:val="28"/>
                <w:szCs w:val="28"/>
              </w:rPr>
            </w:pPr>
          </w:p>
        </w:tc>
        <w:tc>
          <w:tcPr>
            <w:tcW w:w="1951" w:type="dxa"/>
            <w:vMerge w:val="continue"/>
            <w:noWrap w:val="0"/>
            <w:vAlign w:val="center"/>
          </w:tcPr>
          <w:p w14:paraId="2D2B6349">
            <w:pPr>
              <w:jc w:val="center"/>
              <w:rPr>
                <w:rFonts w:ascii="Times New Roman" w:hAnsi="Times New Roman"/>
                <w:sz w:val="28"/>
                <w:szCs w:val="28"/>
              </w:rPr>
            </w:pPr>
          </w:p>
        </w:tc>
        <w:tc>
          <w:tcPr>
            <w:tcW w:w="2607" w:type="dxa"/>
            <w:noWrap w:val="0"/>
            <w:vAlign w:val="center"/>
          </w:tcPr>
          <w:p w14:paraId="4C9910D1">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457B010F">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6349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6F12F2F1">
            <w:pPr>
              <w:jc w:val="center"/>
              <w:rPr>
                <w:rFonts w:ascii="Times New Roman" w:hAnsi="Times New Roman"/>
                <w:sz w:val="28"/>
                <w:szCs w:val="28"/>
              </w:rPr>
            </w:pPr>
          </w:p>
        </w:tc>
        <w:tc>
          <w:tcPr>
            <w:tcW w:w="1951" w:type="dxa"/>
            <w:vMerge w:val="continue"/>
            <w:noWrap w:val="0"/>
            <w:vAlign w:val="center"/>
          </w:tcPr>
          <w:p w14:paraId="56366A07">
            <w:pPr>
              <w:jc w:val="center"/>
              <w:rPr>
                <w:rFonts w:ascii="Times New Roman" w:hAnsi="Times New Roman"/>
                <w:sz w:val="28"/>
                <w:szCs w:val="28"/>
              </w:rPr>
            </w:pPr>
          </w:p>
        </w:tc>
        <w:tc>
          <w:tcPr>
            <w:tcW w:w="2607" w:type="dxa"/>
            <w:noWrap w:val="0"/>
            <w:vAlign w:val="center"/>
          </w:tcPr>
          <w:p w14:paraId="7BDC3756">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B918B2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本标准集工程蓄水、农艺保水、节水灌溉于一体，指导省内丘陵山区、旱塬地带等水资源匮乏地区的梨园旱作栽培管理工作，实现梨树高效生产。标准研制需与《旱地果园水分管理技术规程》（DB14/T 2018-2020）相区分，明确梨各生育期的节水灌溉指标。</w:t>
            </w:r>
          </w:p>
        </w:tc>
      </w:tr>
      <w:tr w14:paraId="3F61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8" w:hRule="atLeast"/>
        </w:trPr>
        <w:tc>
          <w:tcPr>
            <w:tcW w:w="894" w:type="dxa"/>
            <w:vMerge w:val="continue"/>
            <w:noWrap w:val="0"/>
            <w:vAlign w:val="center"/>
          </w:tcPr>
          <w:p w14:paraId="2DC8AC75">
            <w:pPr>
              <w:jc w:val="center"/>
              <w:rPr>
                <w:rFonts w:ascii="Times New Roman" w:hAnsi="Times New Roman"/>
                <w:sz w:val="28"/>
                <w:szCs w:val="28"/>
              </w:rPr>
            </w:pPr>
          </w:p>
        </w:tc>
        <w:tc>
          <w:tcPr>
            <w:tcW w:w="1951" w:type="dxa"/>
            <w:vMerge w:val="continue"/>
            <w:noWrap w:val="0"/>
            <w:vAlign w:val="center"/>
          </w:tcPr>
          <w:p w14:paraId="52CF91D7">
            <w:pPr>
              <w:jc w:val="center"/>
              <w:rPr>
                <w:rFonts w:ascii="Times New Roman" w:hAnsi="Times New Roman"/>
                <w:sz w:val="28"/>
                <w:szCs w:val="28"/>
              </w:rPr>
            </w:pPr>
          </w:p>
        </w:tc>
        <w:tc>
          <w:tcPr>
            <w:tcW w:w="2607" w:type="dxa"/>
            <w:noWrap w:val="0"/>
            <w:vAlign w:val="center"/>
          </w:tcPr>
          <w:p w14:paraId="5F35037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4D3FDF06">
            <w:pPr>
              <w:spacing w:line="0" w:lineRule="atLeas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无</w:t>
            </w:r>
          </w:p>
        </w:tc>
      </w:tr>
    </w:tbl>
    <w:p w14:paraId="0D0B8488"/>
    <w:p w14:paraId="2E79BB3B"/>
    <w:p w14:paraId="0C7E3D95"/>
    <w:p w14:paraId="26DD092F">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F45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6F8CEB64">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46157E28">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36FB8CB">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1BE92130">
            <w:pPr>
              <w:jc w:val="center"/>
              <w:rPr>
                <w:rFonts w:ascii="Times New Roman" w:hAnsi="Times New Roman"/>
                <w:sz w:val="28"/>
                <w:szCs w:val="28"/>
              </w:rPr>
            </w:pPr>
            <w:r>
              <w:rPr>
                <w:rFonts w:hint="eastAsia" w:ascii="Times New Roman" w:hAnsi="Times New Roman" w:eastAsia="仿宋_GB2312"/>
                <w:sz w:val="28"/>
                <w:szCs w:val="28"/>
              </w:rPr>
              <w:t>秋月梨栽培技术规程</w:t>
            </w:r>
          </w:p>
        </w:tc>
      </w:tr>
      <w:tr w14:paraId="24A3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39A37611">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18</w:t>
            </w:r>
          </w:p>
        </w:tc>
        <w:tc>
          <w:tcPr>
            <w:tcW w:w="1951" w:type="dxa"/>
            <w:vMerge w:val="restart"/>
            <w:noWrap w:val="0"/>
            <w:vAlign w:val="center"/>
          </w:tcPr>
          <w:p w14:paraId="64B02A03">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ZJ2026043</w:t>
            </w:r>
          </w:p>
        </w:tc>
        <w:tc>
          <w:tcPr>
            <w:tcW w:w="2607" w:type="dxa"/>
            <w:noWrap w:val="0"/>
            <w:vAlign w:val="center"/>
          </w:tcPr>
          <w:p w14:paraId="73878C33">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9D43DB5">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0267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A66B134">
            <w:pPr>
              <w:jc w:val="center"/>
              <w:rPr>
                <w:rFonts w:ascii="Times New Roman" w:hAnsi="Times New Roman"/>
                <w:sz w:val="28"/>
                <w:szCs w:val="28"/>
              </w:rPr>
            </w:pPr>
          </w:p>
        </w:tc>
        <w:tc>
          <w:tcPr>
            <w:tcW w:w="1951" w:type="dxa"/>
            <w:vMerge w:val="continue"/>
            <w:noWrap w:val="0"/>
            <w:vAlign w:val="center"/>
          </w:tcPr>
          <w:p w14:paraId="69FC1081">
            <w:pPr>
              <w:jc w:val="center"/>
              <w:rPr>
                <w:rFonts w:ascii="Times New Roman" w:hAnsi="Times New Roman"/>
                <w:sz w:val="28"/>
                <w:szCs w:val="28"/>
              </w:rPr>
            </w:pPr>
          </w:p>
        </w:tc>
        <w:tc>
          <w:tcPr>
            <w:tcW w:w="2607" w:type="dxa"/>
            <w:noWrap w:val="0"/>
            <w:vAlign w:val="center"/>
          </w:tcPr>
          <w:p w14:paraId="45C92F77">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659A11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13C2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59B34F2C">
            <w:pPr>
              <w:jc w:val="center"/>
              <w:rPr>
                <w:rFonts w:ascii="Times New Roman" w:hAnsi="Times New Roman"/>
                <w:sz w:val="28"/>
                <w:szCs w:val="28"/>
              </w:rPr>
            </w:pPr>
          </w:p>
        </w:tc>
        <w:tc>
          <w:tcPr>
            <w:tcW w:w="1951" w:type="dxa"/>
            <w:vMerge w:val="continue"/>
            <w:noWrap w:val="0"/>
            <w:vAlign w:val="center"/>
          </w:tcPr>
          <w:p w14:paraId="35B66054">
            <w:pPr>
              <w:jc w:val="center"/>
              <w:rPr>
                <w:rFonts w:ascii="Times New Roman" w:hAnsi="Times New Roman"/>
                <w:sz w:val="28"/>
                <w:szCs w:val="28"/>
              </w:rPr>
            </w:pPr>
          </w:p>
        </w:tc>
        <w:tc>
          <w:tcPr>
            <w:tcW w:w="2607" w:type="dxa"/>
            <w:noWrap w:val="0"/>
            <w:vAlign w:val="center"/>
          </w:tcPr>
          <w:p w14:paraId="2B68251F">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D88C8B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根据秋月梨树体生长特性及果实特性，从科学建园、花果管理、肥水管理、整形修剪、病虫害防治等方面予以规范，指导果农科学种植，实现优质丰产，提高亩均效益，增加果农收入。标准研制需从过程控制角度保障秋月梨品质。</w:t>
            </w:r>
          </w:p>
        </w:tc>
      </w:tr>
      <w:tr w14:paraId="289C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6E4F326B">
            <w:pPr>
              <w:jc w:val="center"/>
              <w:rPr>
                <w:rFonts w:ascii="Times New Roman" w:hAnsi="Times New Roman"/>
                <w:sz w:val="28"/>
                <w:szCs w:val="28"/>
              </w:rPr>
            </w:pPr>
          </w:p>
        </w:tc>
        <w:tc>
          <w:tcPr>
            <w:tcW w:w="1951" w:type="dxa"/>
            <w:vMerge w:val="continue"/>
            <w:noWrap w:val="0"/>
            <w:vAlign w:val="center"/>
          </w:tcPr>
          <w:p w14:paraId="7C30C33D">
            <w:pPr>
              <w:jc w:val="center"/>
              <w:rPr>
                <w:rFonts w:ascii="Times New Roman" w:hAnsi="Times New Roman"/>
                <w:sz w:val="28"/>
                <w:szCs w:val="28"/>
              </w:rPr>
            </w:pPr>
          </w:p>
        </w:tc>
        <w:tc>
          <w:tcPr>
            <w:tcW w:w="2607" w:type="dxa"/>
            <w:noWrap w:val="0"/>
            <w:vAlign w:val="center"/>
          </w:tcPr>
          <w:p w14:paraId="11F06AED">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7F6A72E">
            <w:pPr>
              <w:spacing w:line="0" w:lineRule="atLeas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无</w:t>
            </w:r>
          </w:p>
        </w:tc>
      </w:tr>
    </w:tbl>
    <w:p w14:paraId="0603548C"/>
    <w:p w14:paraId="7B962252">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11A4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075A536A">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A518E4E">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7AA8AF16">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76DE97B">
            <w:pPr>
              <w:jc w:val="center"/>
              <w:rPr>
                <w:rFonts w:ascii="Times New Roman" w:hAnsi="Times New Roman"/>
                <w:sz w:val="28"/>
                <w:szCs w:val="28"/>
              </w:rPr>
            </w:pPr>
            <w:r>
              <w:rPr>
                <w:rFonts w:hint="eastAsia" w:ascii="Times New Roman" w:hAnsi="Times New Roman" w:eastAsia="仿宋_GB2312"/>
                <w:sz w:val="28"/>
                <w:szCs w:val="28"/>
              </w:rPr>
              <w:t>糜子数智化监测技术规程</w:t>
            </w:r>
          </w:p>
        </w:tc>
      </w:tr>
      <w:tr w14:paraId="4C7C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169506CF">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19</w:t>
            </w:r>
          </w:p>
        </w:tc>
        <w:tc>
          <w:tcPr>
            <w:tcW w:w="1951" w:type="dxa"/>
            <w:vMerge w:val="restart"/>
            <w:noWrap w:val="0"/>
            <w:vAlign w:val="center"/>
          </w:tcPr>
          <w:p w14:paraId="700D539D">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ZJ2026044</w:t>
            </w:r>
          </w:p>
        </w:tc>
        <w:tc>
          <w:tcPr>
            <w:tcW w:w="2607" w:type="dxa"/>
            <w:noWrap w:val="0"/>
            <w:vAlign w:val="center"/>
          </w:tcPr>
          <w:p w14:paraId="006B41BD">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062B87EA">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2E30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139E43AF">
            <w:pPr>
              <w:jc w:val="center"/>
              <w:rPr>
                <w:rFonts w:ascii="Times New Roman" w:hAnsi="Times New Roman"/>
                <w:sz w:val="28"/>
                <w:szCs w:val="28"/>
              </w:rPr>
            </w:pPr>
          </w:p>
        </w:tc>
        <w:tc>
          <w:tcPr>
            <w:tcW w:w="1951" w:type="dxa"/>
            <w:vMerge w:val="continue"/>
            <w:noWrap w:val="0"/>
            <w:vAlign w:val="center"/>
          </w:tcPr>
          <w:p w14:paraId="1F077F19">
            <w:pPr>
              <w:jc w:val="center"/>
              <w:rPr>
                <w:rFonts w:ascii="Times New Roman" w:hAnsi="Times New Roman"/>
                <w:sz w:val="28"/>
                <w:szCs w:val="28"/>
              </w:rPr>
            </w:pPr>
          </w:p>
        </w:tc>
        <w:tc>
          <w:tcPr>
            <w:tcW w:w="2607" w:type="dxa"/>
            <w:noWrap w:val="0"/>
            <w:vAlign w:val="center"/>
          </w:tcPr>
          <w:p w14:paraId="369D7E11">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4CA632B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B91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34" w:hRule="atLeast"/>
        </w:trPr>
        <w:tc>
          <w:tcPr>
            <w:tcW w:w="894" w:type="dxa"/>
            <w:vMerge w:val="continue"/>
            <w:noWrap w:val="0"/>
            <w:vAlign w:val="center"/>
          </w:tcPr>
          <w:p w14:paraId="0EC952FB">
            <w:pPr>
              <w:jc w:val="center"/>
              <w:rPr>
                <w:rFonts w:ascii="Times New Roman" w:hAnsi="Times New Roman"/>
                <w:sz w:val="28"/>
                <w:szCs w:val="28"/>
              </w:rPr>
            </w:pPr>
          </w:p>
        </w:tc>
        <w:tc>
          <w:tcPr>
            <w:tcW w:w="1951" w:type="dxa"/>
            <w:vMerge w:val="continue"/>
            <w:noWrap w:val="0"/>
            <w:vAlign w:val="center"/>
          </w:tcPr>
          <w:p w14:paraId="1E1DF935">
            <w:pPr>
              <w:jc w:val="center"/>
              <w:rPr>
                <w:rFonts w:ascii="Times New Roman" w:hAnsi="Times New Roman"/>
                <w:sz w:val="28"/>
                <w:szCs w:val="28"/>
              </w:rPr>
            </w:pPr>
          </w:p>
        </w:tc>
        <w:tc>
          <w:tcPr>
            <w:tcW w:w="2607" w:type="dxa"/>
            <w:noWrap w:val="0"/>
            <w:vAlign w:val="center"/>
          </w:tcPr>
          <w:p w14:paraId="12EEF5C2">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14CF10CB">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本标准围绕糜子生产全过程，构建数智化监测技术体系，针对旱作农业区糜子规模化、轻简化生产及转型升级全过程予以指导，实现生产过程实时监测、定量决策和智能调控，适应现代农业发展需求。</w:t>
            </w:r>
          </w:p>
        </w:tc>
      </w:tr>
      <w:tr w14:paraId="69D5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6" w:hRule="atLeast"/>
        </w:trPr>
        <w:tc>
          <w:tcPr>
            <w:tcW w:w="894" w:type="dxa"/>
            <w:vMerge w:val="continue"/>
            <w:noWrap w:val="0"/>
            <w:vAlign w:val="center"/>
          </w:tcPr>
          <w:p w14:paraId="10C3FFF5">
            <w:pPr>
              <w:jc w:val="center"/>
              <w:rPr>
                <w:rFonts w:ascii="Times New Roman" w:hAnsi="Times New Roman"/>
                <w:sz w:val="28"/>
                <w:szCs w:val="28"/>
              </w:rPr>
            </w:pPr>
          </w:p>
        </w:tc>
        <w:tc>
          <w:tcPr>
            <w:tcW w:w="1951" w:type="dxa"/>
            <w:vMerge w:val="continue"/>
            <w:noWrap w:val="0"/>
            <w:vAlign w:val="center"/>
          </w:tcPr>
          <w:p w14:paraId="68A7FAA2">
            <w:pPr>
              <w:jc w:val="center"/>
              <w:rPr>
                <w:rFonts w:ascii="Times New Roman" w:hAnsi="Times New Roman"/>
                <w:sz w:val="28"/>
                <w:szCs w:val="28"/>
              </w:rPr>
            </w:pPr>
          </w:p>
        </w:tc>
        <w:tc>
          <w:tcPr>
            <w:tcW w:w="2607" w:type="dxa"/>
            <w:noWrap w:val="0"/>
            <w:vAlign w:val="center"/>
          </w:tcPr>
          <w:p w14:paraId="39B3903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1A3D405B">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成员需长期从事糜子栽培、旱作农业、水肥高效利用及作物逆境生理等领域的研究与技术推广工作，在黄土高原旱作区糜子生产方面积累了较为系统的理论成果和丰富的实践经验，具备较强的技术集成与示范推广能力。成员</w:t>
            </w:r>
            <w:r>
              <w:rPr>
                <w:rFonts w:hint="eastAsia" w:ascii="仿宋_GB2312" w:hAnsi="仿宋_GB2312" w:eastAsia="仿宋_GB2312" w:cs="仿宋_GB2312"/>
                <w:sz w:val="24"/>
                <w:szCs w:val="24"/>
                <w:lang w:val="en-US" w:eastAsia="zh-CN"/>
              </w:rPr>
              <w:t>中应有</w:t>
            </w:r>
            <w:r>
              <w:rPr>
                <w:rFonts w:hint="eastAsia" w:ascii="仿宋_GB2312" w:hAnsi="仿宋_GB2312" w:eastAsia="仿宋_GB2312" w:cs="仿宋_GB2312"/>
                <w:sz w:val="24"/>
                <w:szCs w:val="24"/>
              </w:rPr>
              <w:t>参与过省部级科研项目及地方标准、技术规程的制定</w:t>
            </w:r>
            <w:r>
              <w:rPr>
                <w:rFonts w:hint="eastAsia" w:ascii="仿宋_GB2312" w:hAnsi="仿宋_GB2312" w:eastAsia="仿宋_GB2312" w:cs="仿宋_GB2312"/>
                <w:sz w:val="24"/>
                <w:szCs w:val="24"/>
                <w:lang w:val="en-US" w:eastAsia="zh-CN"/>
              </w:rPr>
              <w:t>经验</w:t>
            </w:r>
            <w:r>
              <w:rPr>
                <w:rFonts w:hint="eastAsia" w:ascii="仿宋_GB2312" w:hAnsi="仿宋_GB2312" w:eastAsia="仿宋_GB2312" w:cs="仿宋_GB2312"/>
                <w:sz w:val="24"/>
                <w:szCs w:val="24"/>
              </w:rPr>
              <w:t>。</w:t>
            </w:r>
          </w:p>
        </w:tc>
      </w:tr>
    </w:tbl>
    <w:p w14:paraId="6DF82D2D"/>
    <w:p w14:paraId="1C8135FB">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5F77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5561D11E">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6FCE46B4">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5DA2B8FC">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1D7F1C11">
            <w:pPr>
              <w:jc w:val="center"/>
              <w:rPr>
                <w:rFonts w:ascii="Times New Roman" w:hAnsi="Times New Roman"/>
                <w:sz w:val="28"/>
                <w:szCs w:val="28"/>
              </w:rPr>
            </w:pPr>
            <w:r>
              <w:rPr>
                <w:rFonts w:hint="eastAsia" w:ascii="Times New Roman" w:hAnsi="Times New Roman" w:eastAsia="仿宋_GB2312"/>
                <w:sz w:val="28"/>
                <w:szCs w:val="28"/>
              </w:rPr>
              <w:t>高粱滴灌水肥一体化技术规程</w:t>
            </w:r>
          </w:p>
        </w:tc>
      </w:tr>
      <w:tr w14:paraId="36B4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49834767">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20</w:t>
            </w:r>
          </w:p>
        </w:tc>
        <w:tc>
          <w:tcPr>
            <w:tcW w:w="1951" w:type="dxa"/>
            <w:vMerge w:val="restart"/>
            <w:noWrap w:val="0"/>
            <w:vAlign w:val="center"/>
          </w:tcPr>
          <w:p w14:paraId="094A3D36">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ZJ2026045</w:t>
            </w:r>
          </w:p>
        </w:tc>
        <w:tc>
          <w:tcPr>
            <w:tcW w:w="2607" w:type="dxa"/>
            <w:noWrap w:val="0"/>
            <w:vAlign w:val="center"/>
          </w:tcPr>
          <w:p w14:paraId="41A6705B">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3226F9E3">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BF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59DCAF29">
            <w:pPr>
              <w:jc w:val="center"/>
              <w:rPr>
                <w:rFonts w:ascii="Times New Roman" w:hAnsi="Times New Roman"/>
                <w:sz w:val="28"/>
                <w:szCs w:val="28"/>
              </w:rPr>
            </w:pPr>
          </w:p>
        </w:tc>
        <w:tc>
          <w:tcPr>
            <w:tcW w:w="1951" w:type="dxa"/>
            <w:vMerge w:val="continue"/>
            <w:noWrap w:val="0"/>
            <w:vAlign w:val="center"/>
          </w:tcPr>
          <w:p w14:paraId="26A49C73">
            <w:pPr>
              <w:jc w:val="center"/>
              <w:rPr>
                <w:rFonts w:ascii="Times New Roman" w:hAnsi="Times New Roman"/>
                <w:sz w:val="28"/>
                <w:szCs w:val="28"/>
              </w:rPr>
            </w:pPr>
          </w:p>
        </w:tc>
        <w:tc>
          <w:tcPr>
            <w:tcW w:w="2607" w:type="dxa"/>
            <w:noWrap w:val="0"/>
            <w:vAlign w:val="center"/>
          </w:tcPr>
          <w:p w14:paraId="0F8A8B96">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A19B7E5">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ECA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4" w:hRule="atLeast"/>
        </w:trPr>
        <w:tc>
          <w:tcPr>
            <w:tcW w:w="894" w:type="dxa"/>
            <w:vMerge w:val="continue"/>
            <w:noWrap w:val="0"/>
            <w:vAlign w:val="center"/>
          </w:tcPr>
          <w:p w14:paraId="06C4E495">
            <w:pPr>
              <w:jc w:val="center"/>
              <w:rPr>
                <w:rFonts w:ascii="Times New Roman" w:hAnsi="Times New Roman"/>
                <w:sz w:val="28"/>
                <w:szCs w:val="28"/>
              </w:rPr>
            </w:pPr>
          </w:p>
        </w:tc>
        <w:tc>
          <w:tcPr>
            <w:tcW w:w="1951" w:type="dxa"/>
            <w:vMerge w:val="continue"/>
            <w:noWrap w:val="0"/>
            <w:vAlign w:val="center"/>
          </w:tcPr>
          <w:p w14:paraId="17628558">
            <w:pPr>
              <w:jc w:val="center"/>
              <w:rPr>
                <w:rFonts w:ascii="Times New Roman" w:hAnsi="Times New Roman"/>
                <w:sz w:val="28"/>
                <w:szCs w:val="28"/>
              </w:rPr>
            </w:pPr>
          </w:p>
        </w:tc>
        <w:tc>
          <w:tcPr>
            <w:tcW w:w="2607" w:type="dxa"/>
            <w:noWrap w:val="0"/>
            <w:vAlign w:val="center"/>
          </w:tcPr>
          <w:p w14:paraId="38D727F7">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15541DB1">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结合山西省旱作区气候特点、土壤条件及高粱生长发育规律，集成滴灌水肥一体化核心技术，规定高粱滴灌水肥一体化生产全流程技术要求，明确各生育期水肥调控参数，着力破解旱作区水资源紧缺、水肥利用效率低、产量不稳定等突出问题，最大程度发挥水肥耦合效应的正交互作用，达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以水分促养分吸收、以养分调水分利用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的目的。标准研制需进一步明确适用地域或条件。</w:t>
            </w:r>
          </w:p>
        </w:tc>
      </w:tr>
      <w:tr w14:paraId="63F9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59" w:hRule="atLeast"/>
        </w:trPr>
        <w:tc>
          <w:tcPr>
            <w:tcW w:w="894" w:type="dxa"/>
            <w:vMerge w:val="continue"/>
            <w:noWrap w:val="0"/>
            <w:vAlign w:val="center"/>
          </w:tcPr>
          <w:p w14:paraId="3D195DCF">
            <w:pPr>
              <w:jc w:val="center"/>
              <w:rPr>
                <w:rFonts w:ascii="Times New Roman" w:hAnsi="Times New Roman"/>
                <w:sz w:val="28"/>
                <w:szCs w:val="28"/>
              </w:rPr>
            </w:pPr>
          </w:p>
        </w:tc>
        <w:tc>
          <w:tcPr>
            <w:tcW w:w="1951" w:type="dxa"/>
            <w:vMerge w:val="continue"/>
            <w:noWrap w:val="0"/>
            <w:vAlign w:val="center"/>
          </w:tcPr>
          <w:p w14:paraId="7230E426">
            <w:pPr>
              <w:jc w:val="center"/>
              <w:rPr>
                <w:rFonts w:ascii="Times New Roman" w:hAnsi="Times New Roman"/>
                <w:sz w:val="28"/>
                <w:szCs w:val="28"/>
              </w:rPr>
            </w:pPr>
          </w:p>
        </w:tc>
        <w:tc>
          <w:tcPr>
            <w:tcW w:w="2607" w:type="dxa"/>
            <w:noWrap w:val="0"/>
            <w:vAlign w:val="center"/>
          </w:tcPr>
          <w:p w14:paraId="109FCCAC">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36B1CE8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起草</w:t>
            </w:r>
            <w:r>
              <w:rPr>
                <w:rFonts w:hint="eastAsia" w:ascii="仿宋_GB2312" w:hAnsi="仿宋_GB2312" w:eastAsia="仿宋_GB2312" w:cs="仿宋_GB2312"/>
                <w:sz w:val="24"/>
                <w:szCs w:val="24"/>
              </w:rPr>
              <w:t>团队专业需覆盖高粱栽培、土壤肥料、节水灌溉、农业推广、农业标准化五大核心方向，单位构成优先科研院所与高等院校、农业技术推广中心、节水灌溉相关企业及技术机构，确保技术支撑、生产实践与工程应用相结合。</w:t>
            </w:r>
            <w:r>
              <w:rPr>
                <w:rFonts w:hint="eastAsia" w:ascii="仿宋_GB2312" w:hAnsi="仿宋_GB2312" w:eastAsia="仿宋_GB2312" w:cs="仿宋_GB2312"/>
                <w:sz w:val="24"/>
                <w:szCs w:val="24"/>
                <w:lang w:val="en-US" w:eastAsia="zh-CN"/>
              </w:rPr>
              <w:t>起草团队</w:t>
            </w:r>
            <w:r>
              <w:rPr>
                <w:rFonts w:hint="eastAsia" w:ascii="仿宋_GB2312" w:hAnsi="仿宋_GB2312" w:eastAsia="仿宋_GB2312" w:cs="仿宋_GB2312"/>
                <w:sz w:val="24"/>
                <w:szCs w:val="24"/>
              </w:rPr>
              <w:t>须掌握高粱水肥一体化核心技术，具备田间试验数据整理、技术比对及查重能力，能结合区域气候、土壤条件提出本地化技术参数。成员需长期从事本领域技术研究、生产实践或推广应用工作，具备相应专业技术能力与标准化工作经验；团队中应包含技术骨干、试验验证人员及熟悉标准编写规范的人员，确保能够完成调研、编制、验证、意见处理等全流程工作。</w:t>
            </w:r>
          </w:p>
        </w:tc>
      </w:tr>
    </w:tbl>
    <w:p w14:paraId="3EB7F005">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279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454D6F1F">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028F086">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1A46C18">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6374453">
            <w:pPr>
              <w:jc w:val="center"/>
              <w:rPr>
                <w:rFonts w:ascii="Times New Roman" w:hAnsi="Times New Roman"/>
                <w:sz w:val="28"/>
                <w:szCs w:val="28"/>
              </w:rPr>
            </w:pPr>
            <w:r>
              <w:rPr>
                <w:rFonts w:hint="eastAsia" w:ascii="Times New Roman" w:hAnsi="Times New Roman" w:eastAsia="仿宋_GB2312"/>
                <w:sz w:val="28"/>
                <w:szCs w:val="28"/>
              </w:rPr>
              <w:t>大麦高粱一年两熟（作）周年轮作栽培技术规程</w:t>
            </w:r>
          </w:p>
        </w:tc>
      </w:tr>
      <w:tr w14:paraId="199E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2AA5F37F">
            <w:pPr>
              <w:spacing w:line="320" w:lineRule="exact"/>
              <w:jc w:val="center"/>
              <w:rPr>
                <w:rFonts w:hint="default" w:ascii="Times New Roman" w:hAnsi="Times New Roman" w:eastAsia="宋体"/>
                <w:sz w:val="28"/>
                <w:szCs w:val="28"/>
                <w:lang w:val="en-US" w:eastAsia="zh-CN"/>
              </w:rPr>
            </w:pPr>
            <w:r>
              <w:rPr>
                <w:rFonts w:hint="eastAsia" w:ascii="Times New Roman" w:hAnsi="Times New Roman" w:eastAsia="仿宋_GB2312"/>
                <w:sz w:val="28"/>
                <w:szCs w:val="28"/>
                <w:lang w:val="en-US" w:eastAsia="zh-CN"/>
              </w:rPr>
              <w:t>21</w:t>
            </w:r>
          </w:p>
        </w:tc>
        <w:tc>
          <w:tcPr>
            <w:tcW w:w="1951" w:type="dxa"/>
            <w:vMerge w:val="restart"/>
            <w:noWrap w:val="0"/>
            <w:vAlign w:val="center"/>
          </w:tcPr>
          <w:p w14:paraId="063103F5">
            <w:pPr>
              <w:spacing w:line="320" w:lineRule="exact"/>
              <w:jc w:val="center"/>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ZJ2026046</w:t>
            </w:r>
          </w:p>
        </w:tc>
        <w:tc>
          <w:tcPr>
            <w:tcW w:w="2607" w:type="dxa"/>
            <w:noWrap w:val="0"/>
            <w:vAlign w:val="center"/>
          </w:tcPr>
          <w:p w14:paraId="5ECEE8C4">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50705A61">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DDA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7102E683">
            <w:pPr>
              <w:jc w:val="center"/>
              <w:rPr>
                <w:rFonts w:ascii="Times New Roman" w:hAnsi="Times New Roman"/>
                <w:sz w:val="28"/>
                <w:szCs w:val="28"/>
              </w:rPr>
            </w:pPr>
          </w:p>
        </w:tc>
        <w:tc>
          <w:tcPr>
            <w:tcW w:w="1951" w:type="dxa"/>
            <w:vMerge w:val="continue"/>
            <w:noWrap w:val="0"/>
            <w:vAlign w:val="center"/>
          </w:tcPr>
          <w:p w14:paraId="466AB140">
            <w:pPr>
              <w:jc w:val="center"/>
              <w:rPr>
                <w:rFonts w:ascii="Times New Roman" w:hAnsi="Times New Roman"/>
                <w:sz w:val="28"/>
                <w:szCs w:val="28"/>
              </w:rPr>
            </w:pPr>
          </w:p>
        </w:tc>
        <w:tc>
          <w:tcPr>
            <w:tcW w:w="2607" w:type="dxa"/>
            <w:noWrap w:val="0"/>
            <w:vAlign w:val="center"/>
          </w:tcPr>
          <w:p w14:paraId="0AF6999E">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7A8A659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DA4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7C4BE101">
            <w:pPr>
              <w:jc w:val="center"/>
              <w:rPr>
                <w:rFonts w:ascii="Times New Roman" w:hAnsi="Times New Roman"/>
                <w:sz w:val="28"/>
                <w:szCs w:val="28"/>
              </w:rPr>
            </w:pPr>
          </w:p>
        </w:tc>
        <w:tc>
          <w:tcPr>
            <w:tcW w:w="1951" w:type="dxa"/>
            <w:vMerge w:val="continue"/>
            <w:noWrap w:val="0"/>
            <w:vAlign w:val="center"/>
          </w:tcPr>
          <w:p w14:paraId="343124FC">
            <w:pPr>
              <w:jc w:val="center"/>
              <w:rPr>
                <w:rFonts w:ascii="Times New Roman" w:hAnsi="Times New Roman"/>
                <w:sz w:val="28"/>
                <w:szCs w:val="28"/>
              </w:rPr>
            </w:pPr>
          </w:p>
        </w:tc>
        <w:tc>
          <w:tcPr>
            <w:tcW w:w="2607" w:type="dxa"/>
            <w:noWrap w:val="0"/>
            <w:vAlign w:val="center"/>
          </w:tcPr>
          <w:p w14:paraId="0EBBBD8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792A6B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本标准从品种选择、栽培管理措施等方面予以规范，着力解决受生产条件和传统种植观念限制，不同种植户生产的原粮在产量、品质方面差异较大，致使原粮品质达不到酿造企业收购标准、影响种植效益的问题。</w:t>
            </w:r>
          </w:p>
        </w:tc>
      </w:tr>
      <w:tr w14:paraId="3578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8" w:hRule="atLeast"/>
        </w:trPr>
        <w:tc>
          <w:tcPr>
            <w:tcW w:w="894" w:type="dxa"/>
            <w:vMerge w:val="continue"/>
            <w:noWrap w:val="0"/>
            <w:vAlign w:val="center"/>
          </w:tcPr>
          <w:p w14:paraId="0B4B5350">
            <w:pPr>
              <w:jc w:val="center"/>
              <w:rPr>
                <w:rFonts w:ascii="Times New Roman" w:hAnsi="Times New Roman"/>
                <w:sz w:val="28"/>
                <w:szCs w:val="28"/>
              </w:rPr>
            </w:pPr>
          </w:p>
        </w:tc>
        <w:tc>
          <w:tcPr>
            <w:tcW w:w="1951" w:type="dxa"/>
            <w:vMerge w:val="continue"/>
            <w:noWrap w:val="0"/>
            <w:vAlign w:val="center"/>
          </w:tcPr>
          <w:p w14:paraId="6D35EE48">
            <w:pPr>
              <w:jc w:val="center"/>
              <w:rPr>
                <w:rFonts w:ascii="Times New Roman" w:hAnsi="Times New Roman"/>
                <w:sz w:val="28"/>
                <w:szCs w:val="28"/>
              </w:rPr>
            </w:pPr>
          </w:p>
        </w:tc>
        <w:tc>
          <w:tcPr>
            <w:tcW w:w="2607" w:type="dxa"/>
            <w:noWrap w:val="0"/>
            <w:vAlign w:val="center"/>
          </w:tcPr>
          <w:p w14:paraId="01B3313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7419820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w:t>
            </w:r>
            <w:r>
              <w:rPr>
                <w:rFonts w:hint="eastAsia" w:ascii="仿宋_GB2312" w:hAnsi="仿宋_GB2312" w:eastAsia="仿宋_GB2312" w:cs="仿宋_GB2312"/>
                <w:sz w:val="24"/>
                <w:szCs w:val="24"/>
                <w:lang w:val="en-US" w:eastAsia="zh-CN"/>
              </w:rPr>
              <w:t>包括</w:t>
            </w:r>
            <w:r>
              <w:rPr>
                <w:rFonts w:hint="eastAsia" w:ascii="仿宋_GB2312" w:hAnsi="仿宋_GB2312" w:eastAsia="仿宋_GB2312" w:cs="仿宋_GB2312"/>
                <w:sz w:val="24"/>
                <w:szCs w:val="24"/>
              </w:rPr>
              <w:t>从事大麦高粱栽培的科研人员，具有国家或山西省产业技术体系工作经验，了解我省酿造产业原粮生产标准和需求。</w:t>
            </w:r>
          </w:p>
        </w:tc>
      </w:tr>
    </w:tbl>
    <w:p w14:paraId="0EC7C29F"/>
    <w:p w14:paraId="4861A8BA"/>
    <w:p w14:paraId="54E9C982"/>
    <w:p w14:paraId="43631C3C">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2F8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4E7BEB38">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2B19BE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BD5AB25">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4E9119F0">
            <w:pPr>
              <w:jc w:val="center"/>
              <w:rPr>
                <w:rFonts w:ascii="Times New Roman" w:hAnsi="Times New Roman"/>
                <w:sz w:val="28"/>
                <w:szCs w:val="28"/>
              </w:rPr>
            </w:pPr>
            <w:r>
              <w:rPr>
                <w:rFonts w:hint="eastAsia" w:ascii="Times New Roman" w:hAnsi="Times New Roman" w:eastAsia="仿宋_GB2312"/>
                <w:sz w:val="28"/>
                <w:szCs w:val="28"/>
              </w:rPr>
              <w:t>菊麦轮作栽培技术规程</w:t>
            </w:r>
          </w:p>
        </w:tc>
      </w:tr>
      <w:tr w14:paraId="0160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4681BCFD">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eastAsia" w:ascii="Times New Roman" w:hAnsi="Times New Roman" w:eastAsia="宋体" w:cs="Times New Roman"/>
                <w:i w:val="0"/>
                <w:iCs w:val="0"/>
                <w:color w:val="000000"/>
                <w:kern w:val="0"/>
                <w:sz w:val="28"/>
                <w:szCs w:val="28"/>
                <w:u w:val="none"/>
                <w:lang w:val="en-US" w:eastAsia="zh-CN" w:bidi="ar"/>
              </w:rPr>
              <w:t>22</w:t>
            </w:r>
          </w:p>
        </w:tc>
        <w:tc>
          <w:tcPr>
            <w:tcW w:w="1951" w:type="dxa"/>
            <w:vMerge w:val="restart"/>
            <w:noWrap w:val="0"/>
            <w:vAlign w:val="center"/>
          </w:tcPr>
          <w:p w14:paraId="02A2AE2D">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ZJ2026047</w:t>
            </w:r>
          </w:p>
        </w:tc>
        <w:tc>
          <w:tcPr>
            <w:tcW w:w="2607" w:type="dxa"/>
            <w:noWrap w:val="0"/>
            <w:vAlign w:val="center"/>
          </w:tcPr>
          <w:p w14:paraId="0888B806">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157AC70">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32FB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6196E2C5">
            <w:pPr>
              <w:jc w:val="center"/>
              <w:rPr>
                <w:rFonts w:ascii="Times New Roman" w:hAnsi="Times New Roman"/>
                <w:sz w:val="28"/>
                <w:szCs w:val="28"/>
              </w:rPr>
            </w:pPr>
          </w:p>
        </w:tc>
        <w:tc>
          <w:tcPr>
            <w:tcW w:w="1951" w:type="dxa"/>
            <w:vMerge w:val="continue"/>
            <w:noWrap w:val="0"/>
            <w:vAlign w:val="center"/>
          </w:tcPr>
          <w:p w14:paraId="7E59EC67">
            <w:pPr>
              <w:jc w:val="center"/>
              <w:rPr>
                <w:rFonts w:ascii="Times New Roman" w:hAnsi="Times New Roman"/>
                <w:sz w:val="28"/>
                <w:szCs w:val="28"/>
              </w:rPr>
            </w:pPr>
          </w:p>
        </w:tc>
        <w:tc>
          <w:tcPr>
            <w:tcW w:w="2607" w:type="dxa"/>
            <w:noWrap w:val="0"/>
            <w:vAlign w:val="center"/>
          </w:tcPr>
          <w:p w14:paraId="3515D050">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BE4DBD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4375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0820131E">
            <w:pPr>
              <w:jc w:val="center"/>
              <w:rPr>
                <w:rFonts w:ascii="Times New Roman" w:hAnsi="Times New Roman"/>
                <w:sz w:val="28"/>
                <w:szCs w:val="28"/>
              </w:rPr>
            </w:pPr>
          </w:p>
        </w:tc>
        <w:tc>
          <w:tcPr>
            <w:tcW w:w="1951" w:type="dxa"/>
            <w:vMerge w:val="continue"/>
            <w:noWrap w:val="0"/>
            <w:vAlign w:val="center"/>
          </w:tcPr>
          <w:p w14:paraId="64B471DD">
            <w:pPr>
              <w:jc w:val="center"/>
              <w:rPr>
                <w:rFonts w:ascii="Times New Roman" w:hAnsi="Times New Roman"/>
                <w:sz w:val="28"/>
                <w:szCs w:val="28"/>
              </w:rPr>
            </w:pPr>
          </w:p>
        </w:tc>
        <w:tc>
          <w:tcPr>
            <w:tcW w:w="2607" w:type="dxa"/>
            <w:noWrap w:val="0"/>
            <w:vAlign w:val="center"/>
          </w:tcPr>
          <w:p w14:paraId="1AA9138D">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254DB1EF">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本标准从茬口精准配置与优选良种、土壤管理、肥水管理、绿色高效防控等方面予以规范，着力破解菊花连作障碍，保障产业可持续发展，修复退化土壤，实现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用地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与</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养地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结合的目标。标准研制需明确菊花采收时间。</w:t>
            </w:r>
          </w:p>
        </w:tc>
      </w:tr>
      <w:tr w14:paraId="4D95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894" w:type="dxa"/>
            <w:vMerge w:val="continue"/>
            <w:noWrap w:val="0"/>
            <w:vAlign w:val="center"/>
          </w:tcPr>
          <w:p w14:paraId="192710D4">
            <w:pPr>
              <w:jc w:val="center"/>
              <w:rPr>
                <w:rFonts w:ascii="Times New Roman" w:hAnsi="Times New Roman"/>
                <w:sz w:val="28"/>
                <w:szCs w:val="28"/>
              </w:rPr>
            </w:pPr>
          </w:p>
        </w:tc>
        <w:tc>
          <w:tcPr>
            <w:tcW w:w="1951" w:type="dxa"/>
            <w:vMerge w:val="continue"/>
            <w:noWrap w:val="0"/>
            <w:vAlign w:val="center"/>
          </w:tcPr>
          <w:p w14:paraId="73988DC2">
            <w:pPr>
              <w:jc w:val="center"/>
              <w:rPr>
                <w:rFonts w:ascii="Times New Roman" w:hAnsi="Times New Roman"/>
                <w:sz w:val="28"/>
                <w:szCs w:val="28"/>
              </w:rPr>
            </w:pPr>
          </w:p>
        </w:tc>
        <w:tc>
          <w:tcPr>
            <w:tcW w:w="2607" w:type="dxa"/>
            <w:noWrap w:val="0"/>
            <w:vAlign w:val="center"/>
          </w:tcPr>
          <w:p w14:paraId="67760B2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4858EE5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起草团队应遵循</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专业匹配、结构合理、经验丰富、权责清晰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的原则组建。应具备与标准内容相关的技术研究基础和实践经验，人员应</w:t>
            </w:r>
            <w:r>
              <w:rPr>
                <w:rFonts w:hint="eastAsia" w:ascii="仿宋_GB2312" w:hAnsi="仿宋_GB2312" w:eastAsia="仿宋_GB2312" w:cs="仿宋_GB2312"/>
                <w:sz w:val="24"/>
                <w:szCs w:val="24"/>
                <w:lang w:val="en-US" w:eastAsia="zh-CN"/>
              </w:rPr>
              <w:t>包含</w:t>
            </w:r>
            <w:r>
              <w:rPr>
                <w:rFonts w:hint="eastAsia" w:ascii="仿宋_GB2312" w:hAnsi="仿宋_GB2312" w:eastAsia="仿宋_GB2312" w:cs="仿宋_GB2312"/>
                <w:sz w:val="24"/>
                <w:szCs w:val="24"/>
              </w:rPr>
              <w:t>从事菊花、小麦栽培、植物保护、土壤肥料或标准化等领域的专业人员。</w:t>
            </w:r>
          </w:p>
        </w:tc>
      </w:tr>
    </w:tbl>
    <w:p w14:paraId="5B8BBFCF">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2D06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7BB65EE8">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5059165">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9276054">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224EBA0">
            <w:pPr>
              <w:jc w:val="center"/>
              <w:rPr>
                <w:rFonts w:ascii="Times New Roman" w:hAnsi="Times New Roman"/>
                <w:sz w:val="28"/>
                <w:szCs w:val="28"/>
              </w:rPr>
            </w:pPr>
            <w:r>
              <w:rPr>
                <w:rFonts w:hint="eastAsia" w:ascii="Times New Roman" w:hAnsi="Times New Roman" w:eastAsia="仿宋_GB2312"/>
                <w:sz w:val="28"/>
                <w:szCs w:val="28"/>
              </w:rPr>
              <w:t>马铃薯容器薯（</w:t>
            </w:r>
            <w:r>
              <w:rPr>
                <w:rFonts w:hint="eastAsia" w:ascii="Times New Roman" w:hAnsi="Times New Roman" w:eastAsia="宋体" w:cs="Times New Roman"/>
                <w:i w:val="0"/>
                <w:iCs w:val="0"/>
                <w:color w:val="000000"/>
                <w:kern w:val="0"/>
                <w:sz w:val="28"/>
                <w:szCs w:val="28"/>
                <w:u w:val="none"/>
                <w:lang w:val="en-US" w:eastAsia="zh-CN" w:bidi="ar"/>
              </w:rPr>
              <w:t>G0</w:t>
            </w:r>
            <w:r>
              <w:rPr>
                <w:rFonts w:hint="eastAsia" w:ascii="Times New Roman" w:hAnsi="Times New Roman" w:eastAsia="仿宋_GB2312"/>
                <w:sz w:val="28"/>
                <w:szCs w:val="28"/>
              </w:rPr>
              <w:t>）繁育技术规程</w:t>
            </w:r>
          </w:p>
        </w:tc>
      </w:tr>
      <w:tr w14:paraId="1CA4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AF2E04B">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23</w:t>
            </w:r>
          </w:p>
        </w:tc>
        <w:tc>
          <w:tcPr>
            <w:tcW w:w="1951" w:type="dxa"/>
            <w:vMerge w:val="restart"/>
            <w:noWrap w:val="0"/>
            <w:vAlign w:val="center"/>
          </w:tcPr>
          <w:p w14:paraId="23957B2D">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ZJ2026048</w:t>
            </w:r>
          </w:p>
        </w:tc>
        <w:tc>
          <w:tcPr>
            <w:tcW w:w="2607" w:type="dxa"/>
            <w:noWrap w:val="0"/>
            <w:vAlign w:val="center"/>
          </w:tcPr>
          <w:p w14:paraId="3B507FB3">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5BD2C40D">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B48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34022DA5">
            <w:pPr>
              <w:jc w:val="center"/>
              <w:rPr>
                <w:rFonts w:ascii="Times New Roman" w:hAnsi="Times New Roman"/>
                <w:sz w:val="28"/>
                <w:szCs w:val="28"/>
              </w:rPr>
            </w:pPr>
          </w:p>
        </w:tc>
        <w:tc>
          <w:tcPr>
            <w:tcW w:w="1951" w:type="dxa"/>
            <w:vMerge w:val="continue"/>
            <w:noWrap w:val="0"/>
            <w:vAlign w:val="center"/>
          </w:tcPr>
          <w:p w14:paraId="405D38BC">
            <w:pPr>
              <w:jc w:val="center"/>
              <w:rPr>
                <w:rFonts w:ascii="Times New Roman" w:hAnsi="Times New Roman"/>
                <w:sz w:val="28"/>
                <w:szCs w:val="28"/>
              </w:rPr>
            </w:pPr>
          </w:p>
        </w:tc>
        <w:tc>
          <w:tcPr>
            <w:tcW w:w="2607" w:type="dxa"/>
            <w:noWrap w:val="0"/>
            <w:vAlign w:val="center"/>
          </w:tcPr>
          <w:p w14:paraId="7CDE0D2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89E18C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090C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17D4647C">
            <w:pPr>
              <w:jc w:val="center"/>
              <w:rPr>
                <w:rFonts w:ascii="Times New Roman" w:hAnsi="Times New Roman"/>
                <w:sz w:val="28"/>
                <w:szCs w:val="28"/>
              </w:rPr>
            </w:pPr>
          </w:p>
        </w:tc>
        <w:tc>
          <w:tcPr>
            <w:tcW w:w="1951" w:type="dxa"/>
            <w:vMerge w:val="continue"/>
            <w:noWrap w:val="0"/>
            <w:vAlign w:val="center"/>
          </w:tcPr>
          <w:p w14:paraId="41433100">
            <w:pPr>
              <w:jc w:val="center"/>
              <w:rPr>
                <w:rFonts w:ascii="Times New Roman" w:hAnsi="Times New Roman"/>
                <w:sz w:val="28"/>
                <w:szCs w:val="28"/>
              </w:rPr>
            </w:pPr>
          </w:p>
        </w:tc>
        <w:tc>
          <w:tcPr>
            <w:tcW w:w="2607" w:type="dxa"/>
            <w:noWrap w:val="0"/>
            <w:vAlign w:val="center"/>
          </w:tcPr>
          <w:p w14:paraId="059FC9B3">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C214B3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本标准规范马铃薯脱毒容器薯（微型薯）工厂化繁育生产过程，着力解决容器薯繁育生产流程混乱、马铃薯种薯病毒带毒率高、繁育效率低、质量标准不统一、产能供给不足等问题。标准研制需清晰界定</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容器薯</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范围，并与现有技术标准协调一致，体现与已废止的山西省地方标准的技术差异。</w:t>
            </w:r>
          </w:p>
        </w:tc>
      </w:tr>
      <w:tr w14:paraId="2172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894" w:type="dxa"/>
            <w:vMerge w:val="continue"/>
            <w:noWrap w:val="0"/>
            <w:vAlign w:val="center"/>
          </w:tcPr>
          <w:p w14:paraId="02213BD3">
            <w:pPr>
              <w:jc w:val="center"/>
              <w:rPr>
                <w:rFonts w:ascii="Times New Roman" w:hAnsi="Times New Roman"/>
                <w:sz w:val="28"/>
                <w:szCs w:val="28"/>
              </w:rPr>
            </w:pPr>
          </w:p>
        </w:tc>
        <w:tc>
          <w:tcPr>
            <w:tcW w:w="1951" w:type="dxa"/>
            <w:vMerge w:val="continue"/>
            <w:noWrap w:val="0"/>
            <w:vAlign w:val="center"/>
          </w:tcPr>
          <w:p w14:paraId="3891ADB6">
            <w:pPr>
              <w:jc w:val="center"/>
              <w:rPr>
                <w:rFonts w:ascii="Times New Roman" w:hAnsi="Times New Roman"/>
                <w:sz w:val="28"/>
                <w:szCs w:val="28"/>
              </w:rPr>
            </w:pPr>
          </w:p>
        </w:tc>
        <w:tc>
          <w:tcPr>
            <w:tcW w:w="2607" w:type="dxa"/>
            <w:noWrap w:val="0"/>
            <w:vAlign w:val="center"/>
          </w:tcPr>
          <w:p w14:paraId="2C486F03">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957671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具备跨学科、跨单位、跨领域的综合专业性，包含马铃薯育种与生物技术专家、农业标准化专家、病毒检测与质量控制专家、农业企业生产技术负责人等。人员必须具备马铃薯组培、育种、病毒检测相关资质或长期经验，深入了解山西省晋北高寒与旱地区域生态特点，具备全流程技术落地能力，可提供实操数据与案例，具备跨单位协作能力。</w:t>
            </w:r>
          </w:p>
        </w:tc>
      </w:tr>
    </w:tbl>
    <w:p w14:paraId="69852E54"/>
    <w:p w14:paraId="50EAD15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C56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7D4894F0">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038A0B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514CABBD">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3CBEB3D">
            <w:pPr>
              <w:jc w:val="center"/>
              <w:rPr>
                <w:rFonts w:ascii="Times New Roman" w:hAnsi="Times New Roman"/>
                <w:sz w:val="28"/>
                <w:szCs w:val="28"/>
              </w:rPr>
            </w:pPr>
            <w:r>
              <w:rPr>
                <w:rFonts w:hint="eastAsia" w:ascii="Times New Roman" w:hAnsi="Times New Roman" w:eastAsia="仿宋_GB2312"/>
                <w:sz w:val="28"/>
                <w:szCs w:val="28"/>
              </w:rPr>
              <w:t>糜黍种子生产技术规程</w:t>
            </w:r>
          </w:p>
        </w:tc>
      </w:tr>
      <w:tr w14:paraId="1996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694F2101">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24</w:t>
            </w:r>
          </w:p>
        </w:tc>
        <w:tc>
          <w:tcPr>
            <w:tcW w:w="1951" w:type="dxa"/>
            <w:vMerge w:val="restart"/>
            <w:noWrap w:val="0"/>
            <w:vAlign w:val="center"/>
          </w:tcPr>
          <w:p w14:paraId="60F4231D">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ZJ2026049</w:t>
            </w:r>
          </w:p>
        </w:tc>
        <w:tc>
          <w:tcPr>
            <w:tcW w:w="2607" w:type="dxa"/>
            <w:noWrap w:val="0"/>
            <w:vAlign w:val="center"/>
          </w:tcPr>
          <w:p w14:paraId="74AF0483">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84BFD06">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16E8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E604703">
            <w:pPr>
              <w:jc w:val="center"/>
              <w:rPr>
                <w:rFonts w:ascii="Times New Roman" w:hAnsi="Times New Roman"/>
                <w:sz w:val="28"/>
                <w:szCs w:val="28"/>
              </w:rPr>
            </w:pPr>
          </w:p>
        </w:tc>
        <w:tc>
          <w:tcPr>
            <w:tcW w:w="1951" w:type="dxa"/>
            <w:vMerge w:val="continue"/>
            <w:noWrap w:val="0"/>
            <w:vAlign w:val="center"/>
          </w:tcPr>
          <w:p w14:paraId="3EABFFEE">
            <w:pPr>
              <w:jc w:val="center"/>
              <w:rPr>
                <w:rFonts w:ascii="Times New Roman" w:hAnsi="Times New Roman"/>
                <w:sz w:val="28"/>
                <w:szCs w:val="28"/>
              </w:rPr>
            </w:pPr>
          </w:p>
        </w:tc>
        <w:tc>
          <w:tcPr>
            <w:tcW w:w="2607" w:type="dxa"/>
            <w:noWrap w:val="0"/>
            <w:vAlign w:val="center"/>
          </w:tcPr>
          <w:p w14:paraId="145BCD7F">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F48635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1B04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599CBFB2">
            <w:pPr>
              <w:jc w:val="center"/>
              <w:rPr>
                <w:rFonts w:ascii="Times New Roman" w:hAnsi="Times New Roman"/>
                <w:sz w:val="28"/>
                <w:szCs w:val="28"/>
              </w:rPr>
            </w:pPr>
          </w:p>
        </w:tc>
        <w:tc>
          <w:tcPr>
            <w:tcW w:w="1951" w:type="dxa"/>
            <w:vMerge w:val="continue"/>
            <w:noWrap w:val="0"/>
            <w:vAlign w:val="center"/>
          </w:tcPr>
          <w:p w14:paraId="58510770">
            <w:pPr>
              <w:jc w:val="center"/>
              <w:rPr>
                <w:rFonts w:ascii="Times New Roman" w:hAnsi="Times New Roman"/>
                <w:sz w:val="28"/>
                <w:szCs w:val="28"/>
              </w:rPr>
            </w:pPr>
          </w:p>
        </w:tc>
        <w:tc>
          <w:tcPr>
            <w:tcW w:w="2607" w:type="dxa"/>
            <w:noWrap w:val="0"/>
            <w:vAlign w:val="center"/>
          </w:tcPr>
          <w:p w14:paraId="2EBB2B3D">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2D06A1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建立糜黍良种繁育原原种、原种、大田繁种技术指导体系，明确轮作倒茬及繁育田选择、隔离要求，规范农家肥使用、种子相关病害防治、防杂保纯，规范种子生产、收获、储存、加工等程序，明确种子生产适宜收获时间，避免人为、机械混杂和种子质量下降问题，适应良种生产机械化、规模化、产业化需求。</w:t>
            </w:r>
          </w:p>
        </w:tc>
      </w:tr>
      <w:tr w14:paraId="15FF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5549B17B">
            <w:pPr>
              <w:jc w:val="center"/>
              <w:rPr>
                <w:rFonts w:ascii="Times New Roman" w:hAnsi="Times New Roman"/>
                <w:sz w:val="28"/>
                <w:szCs w:val="28"/>
              </w:rPr>
            </w:pPr>
          </w:p>
        </w:tc>
        <w:tc>
          <w:tcPr>
            <w:tcW w:w="1951" w:type="dxa"/>
            <w:vMerge w:val="continue"/>
            <w:noWrap w:val="0"/>
            <w:vAlign w:val="center"/>
          </w:tcPr>
          <w:p w14:paraId="79BF01FC">
            <w:pPr>
              <w:jc w:val="center"/>
              <w:rPr>
                <w:rFonts w:ascii="Times New Roman" w:hAnsi="Times New Roman"/>
                <w:sz w:val="28"/>
                <w:szCs w:val="28"/>
              </w:rPr>
            </w:pPr>
          </w:p>
        </w:tc>
        <w:tc>
          <w:tcPr>
            <w:tcW w:w="2607" w:type="dxa"/>
            <w:noWrap w:val="0"/>
            <w:vAlign w:val="center"/>
          </w:tcPr>
          <w:p w14:paraId="59226285">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4E1DD4F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起草团队应常年开展糜黍育种与栽培技术研究，熟悉我省糜黍生产实际情况。</w:t>
            </w:r>
          </w:p>
        </w:tc>
      </w:tr>
    </w:tbl>
    <w:p w14:paraId="77C52738"/>
    <w:p w14:paraId="1E76B2D0"/>
    <w:p w14:paraId="60D71CD9">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81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6CA1C814">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DE1D5B1">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05E0A131">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F0CC162">
            <w:pPr>
              <w:jc w:val="center"/>
              <w:rPr>
                <w:rFonts w:ascii="Times New Roman" w:hAnsi="Times New Roman"/>
                <w:sz w:val="28"/>
                <w:szCs w:val="28"/>
              </w:rPr>
            </w:pPr>
            <w:r>
              <w:rPr>
                <w:rFonts w:hint="eastAsia" w:ascii="Times New Roman" w:hAnsi="Times New Roman" w:eastAsia="仿宋_GB2312"/>
                <w:sz w:val="28"/>
                <w:szCs w:val="28"/>
              </w:rPr>
              <w:t>中部地区冬小麦</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夏玉米生产技术规程</w:t>
            </w:r>
          </w:p>
        </w:tc>
      </w:tr>
      <w:tr w14:paraId="5DBD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2668BD7D">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25</w:t>
            </w:r>
          </w:p>
        </w:tc>
        <w:tc>
          <w:tcPr>
            <w:tcW w:w="1951" w:type="dxa"/>
            <w:vMerge w:val="restart"/>
            <w:noWrap w:val="0"/>
            <w:vAlign w:val="center"/>
          </w:tcPr>
          <w:p w14:paraId="3FF986CA">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ZJ2026050</w:t>
            </w:r>
          </w:p>
        </w:tc>
        <w:tc>
          <w:tcPr>
            <w:tcW w:w="2607" w:type="dxa"/>
            <w:noWrap w:val="0"/>
            <w:vAlign w:val="center"/>
          </w:tcPr>
          <w:p w14:paraId="4C1E0C9E">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7D501F5C">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443C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00404A02">
            <w:pPr>
              <w:jc w:val="center"/>
              <w:rPr>
                <w:rFonts w:ascii="Times New Roman" w:hAnsi="Times New Roman"/>
                <w:sz w:val="28"/>
                <w:szCs w:val="28"/>
              </w:rPr>
            </w:pPr>
          </w:p>
        </w:tc>
        <w:tc>
          <w:tcPr>
            <w:tcW w:w="1951" w:type="dxa"/>
            <w:vMerge w:val="continue"/>
            <w:noWrap w:val="0"/>
            <w:vAlign w:val="center"/>
          </w:tcPr>
          <w:p w14:paraId="6B0F57B9">
            <w:pPr>
              <w:jc w:val="center"/>
              <w:rPr>
                <w:rFonts w:ascii="Times New Roman" w:hAnsi="Times New Roman"/>
                <w:sz w:val="28"/>
                <w:szCs w:val="28"/>
              </w:rPr>
            </w:pPr>
          </w:p>
        </w:tc>
        <w:tc>
          <w:tcPr>
            <w:tcW w:w="2607" w:type="dxa"/>
            <w:noWrap w:val="0"/>
            <w:vAlign w:val="center"/>
          </w:tcPr>
          <w:p w14:paraId="59D41074">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FA52193">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989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83" w:hRule="atLeast"/>
        </w:trPr>
        <w:tc>
          <w:tcPr>
            <w:tcW w:w="894" w:type="dxa"/>
            <w:vMerge w:val="continue"/>
            <w:noWrap w:val="0"/>
            <w:vAlign w:val="center"/>
          </w:tcPr>
          <w:p w14:paraId="1D0CB038">
            <w:pPr>
              <w:jc w:val="center"/>
              <w:rPr>
                <w:rFonts w:ascii="Times New Roman" w:hAnsi="Times New Roman"/>
                <w:sz w:val="28"/>
                <w:szCs w:val="28"/>
              </w:rPr>
            </w:pPr>
          </w:p>
        </w:tc>
        <w:tc>
          <w:tcPr>
            <w:tcW w:w="1951" w:type="dxa"/>
            <w:vMerge w:val="continue"/>
            <w:noWrap w:val="0"/>
            <w:vAlign w:val="center"/>
          </w:tcPr>
          <w:p w14:paraId="43DA65F4">
            <w:pPr>
              <w:jc w:val="center"/>
              <w:rPr>
                <w:rFonts w:ascii="Times New Roman" w:hAnsi="Times New Roman"/>
                <w:sz w:val="28"/>
                <w:szCs w:val="28"/>
              </w:rPr>
            </w:pPr>
          </w:p>
        </w:tc>
        <w:tc>
          <w:tcPr>
            <w:tcW w:w="2607" w:type="dxa"/>
            <w:noWrap w:val="0"/>
            <w:vAlign w:val="center"/>
          </w:tcPr>
          <w:p w14:paraId="75FEB78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470958A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冬小麦—夏玉米轮作周期内生产全过程的技术设计、操作实施和管理要求，以期优化茬口衔接、提高水肥利用效率，增强对干旱、低温等极端气候的适应能力。标准研制需对夏玉米品种成熟期作出明确规定。</w:t>
            </w:r>
          </w:p>
        </w:tc>
      </w:tr>
      <w:tr w14:paraId="0A9D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1" w:hRule="atLeast"/>
        </w:trPr>
        <w:tc>
          <w:tcPr>
            <w:tcW w:w="894" w:type="dxa"/>
            <w:vMerge w:val="continue"/>
            <w:noWrap w:val="0"/>
            <w:vAlign w:val="center"/>
          </w:tcPr>
          <w:p w14:paraId="3D4620AD">
            <w:pPr>
              <w:jc w:val="center"/>
              <w:rPr>
                <w:rFonts w:ascii="Times New Roman" w:hAnsi="Times New Roman"/>
                <w:sz w:val="28"/>
                <w:szCs w:val="28"/>
              </w:rPr>
            </w:pPr>
          </w:p>
        </w:tc>
        <w:tc>
          <w:tcPr>
            <w:tcW w:w="1951" w:type="dxa"/>
            <w:vMerge w:val="continue"/>
            <w:noWrap w:val="0"/>
            <w:vAlign w:val="center"/>
          </w:tcPr>
          <w:p w14:paraId="71D69F1D">
            <w:pPr>
              <w:jc w:val="center"/>
              <w:rPr>
                <w:rFonts w:ascii="Times New Roman" w:hAnsi="Times New Roman"/>
                <w:sz w:val="28"/>
                <w:szCs w:val="28"/>
              </w:rPr>
            </w:pPr>
          </w:p>
        </w:tc>
        <w:tc>
          <w:tcPr>
            <w:tcW w:w="2607" w:type="dxa"/>
            <w:noWrap w:val="0"/>
            <w:vAlign w:val="center"/>
          </w:tcPr>
          <w:p w14:paraId="28DDD84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9D0636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由长期从事冬小麦—夏玉米轮作生产、作物栽培与耕作、土壤肥料与植物营养、植物保护及农业资源环境等领域的专业技术人员组成，具备农学、土壤学、植物营养学、植物保护学及农业生态学等相关专业背景，能够从周年资源统筹、作物高产高效、耕地地力培育、绿色投入品协同管理等层面开展技术集成与规范制定。</w:t>
            </w:r>
            <w:r>
              <w:rPr>
                <w:rFonts w:hint="eastAsia" w:ascii="仿宋_GB2312" w:hAnsi="仿宋_GB2312" w:eastAsia="仿宋_GB2312" w:cs="仿宋_GB2312"/>
                <w:sz w:val="24"/>
                <w:szCs w:val="24"/>
                <w:lang w:val="en-US" w:eastAsia="zh-CN"/>
              </w:rPr>
              <w:t>应</w:t>
            </w:r>
            <w:r>
              <w:rPr>
                <w:rFonts w:hint="eastAsia" w:ascii="仿宋_GB2312" w:hAnsi="仿宋_GB2312" w:eastAsia="仿宋_GB2312" w:cs="仿宋_GB2312"/>
                <w:sz w:val="24"/>
                <w:szCs w:val="24"/>
              </w:rPr>
              <w:t>理解绿色高产高效生产中的水肥周年统筹机制、有机无机协同培肥规律及病虫草害绿色防控策略，能够科学确定基于土壤肥力等级的周年养分分配方案、基于生育期需求的水肥一体化运行参数、基于气候预测的播期优化及绿色防控阈值等核心技术参数。</w:t>
            </w:r>
          </w:p>
        </w:tc>
      </w:tr>
    </w:tbl>
    <w:p w14:paraId="0E45796D">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3300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3BA9C668">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17AE9158">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7137FB83">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4E141CF4">
            <w:pPr>
              <w:jc w:val="center"/>
              <w:rPr>
                <w:rFonts w:ascii="Times New Roman" w:hAnsi="Times New Roman"/>
                <w:sz w:val="28"/>
                <w:szCs w:val="28"/>
              </w:rPr>
            </w:pPr>
            <w:r>
              <w:rPr>
                <w:rFonts w:hint="eastAsia" w:ascii="Times New Roman" w:hAnsi="Times New Roman" w:eastAsia="仿宋_GB2312"/>
                <w:sz w:val="28"/>
                <w:szCs w:val="28"/>
              </w:rPr>
              <w:t>丘陵山区玉米秸秆归拢条带沟埋技术规程</w:t>
            </w:r>
          </w:p>
        </w:tc>
      </w:tr>
      <w:tr w14:paraId="25BA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040DF1B">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26</w:t>
            </w:r>
          </w:p>
        </w:tc>
        <w:tc>
          <w:tcPr>
            <w:tcW w:w="1951" w:type="dxa"/>
            <w:vMerge w:val="restart"/>
            <w:noWrap w:val="0"/>
            <w:vAlign w:val="center"/>
          </w:tcPr>
          <w:p w14:paraId="4C99F032">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ZJ2026051</w:t>
            </w:r>
          </w:p>
        </w:tc>
        <w:tc>
          <w:tcPr>
            <w:tcW w:w="2607" w:type="dxa"/>
            <w:noWrap w:val="0"/>
            <w:vAlign w:val="center"/>
          </w:tcPr>
          <w:p w14:paraId="5D2D1885">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3364F63">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105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0FD794FB">
            <w:pPr>
              <w:jc w:val="center"/>
              <w:rPr>
                <w:rFonts w:ascii="Times New Roman" w:hAnsi="Times New Roman"/>
                <w:sz w:val="28"/>
                <w:szCs w:val="28"/>
              </w:rPr>
            </w:pPr>
          </w:p>
        </w:tc>
        <w:tc>
          <w:tcPr>
            <w:tcW w:w="1951" w:type="dxa"/>
            <w:vMerge w:val="continue"/>
            <w:noWrap w:val="0"/>
            <w:vAlign w:val="center"/>
          </w:tcPr>
          <w:p w14:paraId="0E68E6BC">
            <w:pPr>
              <w:jc w:val="center"/>
              <w:rPr>
                <w:rFonts w:ascii="Times New Roman" w:hAnsi="Times New Roman"/>
                <w:sz w:val="28"/>
                <w:szCs w:val="28"/>
              </w:rPr>
            </w:pPr>
          </w:p>
        </w:tc>
        <w:tc>
          <w:tcPr>
            <w:tcW w:w="2607" w:type="dxa"/>
            <w:noWrap w:val="0"/>
            <w:vAlign w:val="center"/>
          </w:tcPr>
          <w:p w14:paraId="06C70BE3">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333A5E0">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E23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894" w:type="dxa"/>
            <w:vMerge w:val="continue"/>
            <w:noWrap w:val="0"/>
            <w:vAlign w:val="center"/>
          </w:tcPr>
          <w:p w14:paraId="63CA97CF">
            <w:pPr>
              <w:jc w:val="center"/>
              <w:rPr>
                <w:rFonts w:ascii="Times New Roman" w:hAnsi="Times New Roman"/>
                <w:sz w:val="28"/>
                <w:szCs w:val="28"/>
              </w:rPr>
            </w:pPr>
          </w:p>
        </w:tc>
        <w:tc>
          <w:tcPr>
            <w:tcW w:w="1951" w:type="dxa"/>
            <w:vMerge w:val="continue"/>
            <w:noWrap w:val="0"/>
            <w:vAlign w:val="center"/>
          </w:tcPr>
          <w:p w14:paraId="54CE4075">
            <w:pPr>
              <w:jc w:val="center"/>
              <w:rPr>
                <w:rFonts w:ascii="Times New Roman" w:hAnsi="Times New Roman"/>
                <w:sz w:val="28"/>
                <w:szCs w:val="28"/>
              </w:rPr>
            </w:pPr>
          </w:p>
        </w:tc>
        <w:tc>
          <w:tcPr>
            <w:tcW w:w="2607" w:type="dxa"/>
            <w:noWrap w:val="0"/>
            <w:vAlign w:val="center"/>
          </w:tcPr>
          <w:p w14:paraId="343865E9">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ECE48D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本标准规范秸秆粉碎、开沟、秸秆归行与沟埋、镇压等技术流程，着力破解丘陵山区机械化作业瓶颈，解决</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秸秆何去何从</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矛盾，服务黄河流域生态保护，提升耕地质量，落实</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藏粮于地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战略长效机制。</w:t>
            </w:r>
          </w:p>
        </w:tc>
      </w:tr>
      <w:tr w14:paraId="7190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8" w:hRule="atLeast"/>
        </w:trPr>
        <w:tc>
          <w:tcPr>
            <w:tcW w:w="894" w:type="dxa"/>
            <w:vMerge w:val="continue"/>
            <w:noWrap w:val="0"/>
            <w:vAlign w:val="center"/>
          </w:tcPr>
          <w:p w14:paraId="4A02560C">
            <w:pPr>
              <w:jc w:val="center"/>
              <w:rPr>
                <w:rFonts w:ascii="Times New Roman" w:hAnsi="Times New Roman"/>
                <w:sz w:val="28"/>
                <w:szCs w:val="28"/>
              </w:rPr>
            </w:pPr>
          </w:p>
        </w:tc>
        <w:tc>
          <w:tcPr>
            <w:tcW w:w="1951" w:type="dxa"/>
            <w:vMerge w:val="continue"/>
            <w:noWrap w:val="0"/>
            <w:vAlign w:val="center"/>
          </w:tcPr>
          <w:p w14:paraId="18D0E934">
            <w:pPr>
              <w:jc w:val="center"/>
              <w:rPr>
                <w:rFonts w:ascii="Times New Roman" w:hAnsi="Times New Roman"/>
                <w:sz w:val="28"/>
                <w:szCs w:val="28"/>
              </w:rPr>
            </w:pPr>
          </w:p>
        </w:tc>
        <w:tc>
          <w:tcPr>
            <w:tcW w:w="2607" w:type="dxa"/>
            <w:noWrap w:val="0"/>
            <w:vAlign w:val="center"/>
          </w:tcPr>
          <w:p w14:paraId="5A62B0B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3F1670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起草团队应具备多学科协作能力，涵盖农业机械化、土壤农化、作物栽培及标准化研究等领域的专业人员，对丘陵山区地形特征、玉米秸秆处理工艺及保护性耕作技术有较强的理论水平和实践经验。</w:t>
            </w:r>
            <w:r>
              <w:rPr>
                <w:rFonts w:hint="eastAsia" w:ascii="仿宋_GB2312" w:hAnsi="仿宋_GB2312" w:eastAsia="仿宋_GB2312" w:cs="仿宋_GB2312"/>
                <w:sz w:val="24"/>
                <w:szCs w:val="24"/>
                <w:lang w:val="en-US" w:eastAsia="zh-CN"/>
              </w:rPr>
              <w:t>起草团队中</w:t>
            </w:r>
            <w:r>
              <w:rPr>
                <w:rFonts w:hint="eastAsia" w:ascii="仿宋_GB2312" w:hAnsi="仿宋_GB2312" w:eastAsia="仿宋_GB2312" w:cs="仿宋_GB2312"/>
                <w:sz w:val="24"/>
                <w:szCs w:val="24"/>
              </w:rPr>
              <w:t>应</w:t>
            </w:r>
            <w:r>
              <w:rPr>
                <w:rFonts w:hint="eastAsia" w:ascii="仿宋_GB2312" w:hAnsi="仿宋_GB2312" w:eastAsia="仿宋_GB2312" w:cs="仿宋_GB2312"/>
                <w:sz w:val="24"/>
                <w:szCs w:val="24"/>
                <w:lang w:val="en-US" w:eastAsia="zh-CN"/>
              </w:rPr>
              <w:t>包含</w:t>
            </w:r>
            <w:r>
              <w:rPr>
                <w:rFonts w:hint="eastAsia" w:ascii="仿宋_GB2312" w:hAnsi="仿宋_GB2312" w:eastAsia="仿宋_GB2312" w:cs="仿宋_GB2312"/>
                <w:sz w:val="24"/>
                <w:szCs w:val="24"/>
              </w:rPr>
              <w:t>参与过农业生态保护、保护性耕作等技术推广工作。团队中需包含从事省市级农业生态保护与资源区划工作的人员。</w:t>
            </w:r>
          </w:p>
        </w:tc>
      </w:tr>
    </w:tbl>
    <w:p w14:paraId="208271A2">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215A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4253C85A">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FB0AB8E">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B48299C">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B39D5A3">
            <w:pPr>
              <w:jc w:val="center"/>
              <w:rPr>
                <w:rFonts w:ascii="Times New Roman" w:hAnsi="Times New Roman"/>
                <w:sz w:val="28"/>
                <w:szCs w:val="28"/>
              </w:rPr>
            </w:pPr>
            <w:r>
              <w:rPr>
                <w:rFonts w:hint="eastAsia" w:ascii="Times New Roman" w:hAnsi="Times New Roman" w:eastAsia="仿宋_GB2312"/>
                <w:sz w:val="28"/>
                <w:szCs w:val="28"/>
              </w:rPr>
              <w:t>鲜食型甘薯高垄密植栽培技术规程</w:t>
            </w:r>
          </w:p>
        </w:tc>
      </w:tr>
      <w:tr w14:paraId="4498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6650B238">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27</w:t>
            </w:r>
          </w:p>
        </w:tc>
        <w:tc>
          <w:tcPr>
            <w:tcW w:w="1951" w:type="dxa"/>
            <w:vMerge w:val="restart"/>
            <w:noWrap w:val="0"/>
            <w:vAlign w:val="center"/>
          </w:tcPr>
          <w:p w14:paraId="5719D84C">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ZJ2026052</w:t>
            </w:r>
          </w:p>
        </w:tc>
        <w:tc>
          <w:tcPr>
            <w:tcW w:w="2607" w:type="dxa"/>
            <w:noWrap w:val="0"/>
            <w:vAlign w:val="center"/>
          </w:tcPr>
          <w:p w14:paraId="6437ABA9">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C4549CE">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2DF9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605E2525">
            <w:pPr>
              <w:jc w:val="center"/>
              <w:rPr>
                <w:rFonts w:ascii="Times New Roman" w:hAnsi="Times New Roman"/>
                <w:sz w:val="28"/>
                <w:szCs w:val="28"/>
              </w:rPr>
            </w:pPr>
          </w:p>
        </w:tc>
        <w:tc>
          <w:tcPr>
            <w:tcW w:w="1951" w:type="dxa"/>
            <w:vMerge w:val="continue"/>
            <w:noWrap w:val="0"/>
            <w:vAlign w:val="center"/>
          </w:tcPr>
          <w:p w14:paraId="09F34EBB">
            <w:pPr>
              <w:jc w:val="center"/>
              <w:rPr>
                <w:rFonts w:ascii="Times New Roman" w:hAnsi="Times New Roman"/>
                <w:sz w:val="28"/>
                <w:szCs w:val="28"/>
              </w:rPr>
            </w:pPr>
          </w:p>
        </w:tc>
        <w:tc>
          <w:tcPr>
            <w:tcW w:w="2607" w:type="dxa"/>
            <w:noWrap w:val="0"/>
            <w:vAlign w:val="center"/>
          </w:tcPr>
          <w:p w14:paraId="541C7137">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7F47B42B">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4699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62255BAA">
            <w:pPr>
              <w:jc w:val="center"/>
              <w:rPr>
                <w:rFonts w:ascii="Times New Roman" w:hAnsi="Times New Roman"/>
                <w:sz w:val="28"/>
                <w:szCs w:val="28"/>
              </w:rPr>
            </w:pPr>
          </w:p>
        </w:tc>
        <w:tc>
          <w:tcPr>
            <w:tcW w:w="1951" w:type="dxa"/>
            <w:vMerge w:val="continue"/>
            <w:noWrap w:val="0"/>
            <w:vAlign w:val="center"/>
          </w:tcPr>
          <w:p w14:paraId="03FAB83E">
            <w:pPr>
              <w:jc w:val="center"/>
              <w:rPr>
                <w:rFonts w:ascii="Times New Roman" w:hAnsi="Times New Roman"/>
                <w:sz w:val="28"/>
                <w:szCs w:val="28"/>
              </w:rPr>
            </w:pPr>
          </w:p>
        </w:tc>
        <w:tc>
          <w:tcPr>
            <w:tcW w:w="2607" w:type="dxa"/>
            <w:noWrap w:val="0"/>
            <w:vAlign w:val="center"/>
          </w:tcPr>
          <w:p w14:paraId="7A212C18">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F37345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鲜食型甘薯品种大田生产，以薯形规整、表皮光滑、商品率高、稳产增产为核心目标，结合全省鲜食型甘薯种植地域差异，统一垄高、垄宽、垄距等关键参数，规范栽插密度、覆膜方式、水肥管理等全流程，形成完整的艺机一体化作业模式。</w:t>
            </w:r>
          </w:p>
        </w:tc>
      </w:tr>
      <w:tr w14:paraId="0581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82" w:hRule="atLeast"/>
        </w:trPr>
        <w:tc>
          <w:tcPr>
            <w:tcW w:w="894" w:type="dxa"/>
            <w:vMerge w:val="continue"/>
            <w:noWrap w:val="0"/>
            <w:vAlign w:val="center"/>
          </w:tcPr>
          <w:p w14:paraId="0D512A47">
            <w:pPr>
              <w:jc w:val="center"/>
              <w:rPr>
                <w:rFonts w:ascii="Times New Roman" w:hAnsi="Times New Roman"/>
                <w:sz w:val="28"/>
                <w:szCs w:val="28"/>
              </w:rPr>
            </w:pPr>
          </w:p>
        </w:tc>
        <w:tc>
          <w:tcPr>
            <w:tcW w:w="1951" w:type="dxa"/>
            <w:vMerge w:val="continue"/>
            <w:noWrap w:val="0"/>
            <w:vAlign w:val="center"/>
          </w:tcPr>
          <w:p w14:paraId="21C1C217">
            <w:pPr>
              <w:jc w:val="center"/>
              <w:rPr>
                <w:rFonts w:ascii="Times New Roman" w:hAnsi="Times New Roman"/>
                <w:sz w:val="28"/>
                <w:szCs w:val="28"/>
              </w:rPr>
            </w:pPr>
          </w:p>
        </w:tc>
        <w:tc>
          <w:tcPr>
            <w:tcW w:w="2607" w:type="dxa"/>
            <w:noWrap w:val="0"/>
            <w:vAlign w:val="center"/>
          </w:tcPr>
          <w:p w14:paraId="357310A3">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E2646F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起草团队应在甘薯领域具有多年研究经验，具备扎实的理论基础和实践应用能力，涵盖甘薯栽培、育种、农业技术推广等相关专业。第一起草人应作为</w:t>
            </w:r>
            <w:r>
              <w:rPr>
                <w:rFonts w:hint="eastAsia" w:ascii="仿宋_GB2312" w:hAnsi="仿宋_GB2312" w:eastAsia="仿宋_GB2312" w:cs="仿宋_GB2312"/>
                <w:sz w:val="24"/>
                <w:szCs w:val="24"/>
                <w:lang w:val="en-US" w:eastAsia="zh-CN"/>
              </w:rPr>
              <w:t>主要起草人</w:t>
            </w:r>
            <w:r>
              <w:rPr>
                <w:rFonts w:hint="eastAsia" w:ascii="仿宋_GB2312" w:hAnsi="仿宋_GB2312" w:eastAsia="仿宋_GB2312" w:cs="仿宋_GB2312"/>
                <w:sz w:val="24"/>
                <w:szCs w:val="24"/>
              </w:rPr>
              <w:t>制定过山西省省级地方标准，主要</w:t>
            </w:r>
            <w:r>
              <w:rPr>
                <w:rFonts w:hint="eastAsia" w:ascii="仿宋_GB2312" w:hAnsi="仿宋_GB2312" w:eastAsia="仿宋_GB2312" w:cs="仿宋_GB2312"/>
                <w:sz w:val="24"/>
                <w:szCs w:val="24"/>
                <w:lang w:val="en-US" w:eastAsia="zh-CN"/>
              </w:rPr>
              <w:t>起草人</w:t>
            </w:r>
            <w:r>
              <w:rPr>
                <w:rFonts w:hint="eastAsia" w:ascii="仿宋_GB2312" w:hAnsi="仿宋_GB2312" w:eastAsia="仿宋_GB2312" w:cs="仿宋_GB2312"/>
                <w:sz w:val="24"/>
                <w:szCs w:val="24"/>
              </w:rPr>
              <w:t>应参与起草过山西省省级地方标准。团队人员应熟悉行业现状、技术趋势、关键指标、问题痛点，具有种植和推广应用一线经验。</w:t>
            </w:r>
          </w:p>
        </w:tc>
      </w:tr>
    </w:tbl>
    <w:p w14:paraId="10D1E1B7"/>
    <w:p w14:paraId="4CCE9B2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598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23C4EF20">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B01AB7C">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2D0A0536">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0472ED30">
            <w:pPr>
              <w:jc w:val="center"/>
              <w:rPr>
                <w:rFonts w:ascii="Times New Roman" w:hAnsi="Times New Roman"/>
                <w:sz w:val="28"/>
                <w:szCs w:val="28"/>
              </w:rPr>
            </w:pPr>
            <w:r>
              <w:rPr>
                <w:rFonts w:hint="eastAsia" w:ascii="Times New Roman" w:hAnsi="Times New Roman" w:eastAsia="仿宋_GB2312"/>
                <w:sz w:val="28"/>
                <w:szCs w:val="28"/>
              </w:rPr>
              <w:t>冷凉区鲜食玉米间作大豆生产技术规程</w:t>
            </w:r>
          </w:p>
        </w:tc>
      </w:tr>
      <w:tr w14:paraId="64ED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7F71D520">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28</w:t>
            </w:r>
          </w:p>
        </w:tc>
        <w:tc>
          <w:tcPr>
            <w:tcW w:w="1951" w:type="dxa"/>
            <w:vMerge w:val="restart"/>
            <w:noWrap w:val="0"/>
            <w:vAlign w:val="center"/>
          </w:tcPr>
          <w:p w14:paraId="1C3A7302">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ZJ2026053</w:t>
            </w:r>
          </w:p>
        </w:tc>
        <w:tc>
          <w:tcPr>
            <w:tcW w:w="2607" w:type="dxa"/>
            <w:noWrap w:val="0"/>
            <w:vAlign w:val="center"/>
          </w:tcPr>
          <w:p w14:paraId="079B03DA">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6B0034FC">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0E9F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7E4F0502">
            <w:pPr>
              <w:jc w:val="center"/>
              <w:rPr>
                <w:rFonts w:ascii="Times New Roman" w:hAnsi="Times New Roman"/>
                <w:sz w:val="28"/>
                <w:szCs w:val="28"/>
              </w:rPr>
            </w:pPr>
          </w:p>
        </w:tc>
        <w:tc>
          <w:tcPr>
            <w:tcW w:w="1951" w:type="dxa"/>
            <w:vMerge w:val="continue"/>
            <w:noWrap w:val="0"/>
            <w:vAlign w:val="center"/>
          </w:tcPr>
          <w:p w14:paraId="4B52399A">
            <w:pPr>
              <w:jc w:val="center"/>
              <w:rPr>
                <w:rFonts w:ascii="Times New Roman" w:hAnsi="Times New Roman"/>
                <w:sz w:val="28"/>
                <w:szCs w:val="28"/>
              </w:rPr>
            </w:pPr>
          </w:p>
        </w:tc>
        <w:tc>
          <w:tcPr>
            <w:tcW w:w="2607" w:type="dxa"/>
            <w:noWrap w:val="0"/>
            <w:vAlign w:val="center"/>
          </w:tcPr>
          <w:p w14:paraId="3A074855">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54FD40A">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73F8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9" w:hRule="atLeast"/>
        </w:trPr>
        <w:tc>
          <w:tcPr>
            <w:tcW w:w="894" w:type="dxa"/>
            <w:vMerge w:val="continue"/>
            <w:noWrap w:val="0"/>
            <w:vAlign w:val="center"/>
          </w:tcPr>
          <w:p w14:paraId="7FD23C31">
            <w:pPr>
              <w:jc w:val="center"/>
              <w:rPr>
                <w:rFonts w:ascii="Times New Roman" w:hAnsi="Times New Roman"/>
                <w:sz w:val="28"/>
                <w:szCs w:val="28"/>
              </w:rPr>
            </w:pPr>
          </w:p>
        </w:tc>
        <w:tc>
          <w:tcPr>
            <w:tcW w:w="1951" w:type="dxa"/>
            <w:vMerge w:val="continue"/>
            <w:noWrap w:val="0"/>
            <w:vAlign w:val="center"/>
          </w:tcPr>
          <w:p w14:paraId="5334B38C">
            <w:pPr>
              <w:jc w:val="center"/>
              <w:rPr>
                <w:rFonts w:ascii="Times New Roman" w:hAnsi="Times New Roman"/>
                <w:sz w:val="28"/>
                <w:szCs w:val="28"/>
              </w:rPr>
            </w:pPr>
          </w:p>
        </w:tc>
        <w:tc>
          <w:tcPr>
            <w:tcW w:w="2607" w:type="dxa"/>
            <w:noWrap w:val="0"/>
            <w:vAlign w:val="center"/>
          </w:tcPr>
          <w:p w14:paraId="613AE96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6626437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山西省中北部及冷凉区，主要技术内容包括选地、整地、品种选择、播种时期、播量及密度、播种方式、施肥、种植模式、杂草防控、病虫害防治、收获，在保障鲜食玉米主产品产量与品质不受影响的前提下，多收一季大豆，实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一种两收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p>
        </w:tc>
      </w:tr>
      <w:tr w14:paraId="7D2E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9" w:hRule="atLeast"/>
        </w:trPr>
        <w:tc>
          <w:tcPr>
            <w:tcW w:w="894" w:type="dxa"/>
            <w:vMerge w:val="continue"/>
            <w:noWrap w:val="0"/>
            <w:vAlign w:val="center"/>
          </w:tcPr>
          <w:p w14:paraId="7D083231">
            <w:pPr>
              <w:jc w:val="center"/>
              <w:rPr>
                <w:rFonts w:ascii="Times New Roman" w:hAnsi="Times New Roman"/>
                <w:sz w:val="28"/>
                <w:szCs w:val="28"/>
              </w:rPr>
            </w:pPr>
          </w:p>
        </w:tc>
        <w:tc>
          <w:tcPr>
            <w:tcW w:w="1951" w:type="dxa"/>
            <w:vMerge w:val="continue"/>
            <w:noWrap w:val="0"/>
            <w:vAlign w:val="center"/>
          </w:tcPr>
          <w:p w14:paraId="2ACBEAD9">
            <w:pPr>
              <w:jc w:val="center"/>
              <w:rPr>
                <w:rFonts w:ascii="Times New Roman" w:hAnsi="Times New Roman"/>
                <w:sz w:val="28"/>
                <w:szCs w:val="28"/>
              </w:rPr>
            </w:pPr>
          </w:p>
        </w:tc>
        <w:tc>
          <w:tcPr>
            <w:tcW w:w="2607" w:type="dxa"/>
            <w:noWrap w:val="0"/>
            <w:vAlign w:val="center"/>
          </w:tcPr>
          <w:p w14:paraId="1661A17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56E9BE3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起草团队应兼顾科研理论人员与基层实操农技人员，形成理论与田间相结合的复合型配置。</w:t>
            </w:r>
            <w:r>
              <w:rPr>
                <w:rFonts w:hint="eastAsia" w:ascii="仿宋_GB2312" w:hAnsi="仿宋_GB2312" w:eastAsia="仿宋_GB2312" w:cs="仿宋_GB2312"/>
                <w:sz w:val="24"/>
                <w:szCs w:val="24"/>
                <w:lang w:val="en-US" w:eastAsia="zh-CN"/>
              </w:rPr>
              <w:t>主要起草人</w:t>
            </w:r>
            <w:r>
              <w:rPr>
                <w:rFonts w:hint="eastAsia" w:ascii="仿宋_GB2312" w:hAnsi="仿宋_GB2312" w:eastAsia="仿宋_GB2312" w:cs="仿宋_GB2312"/>
                <w:sz w:val="24"/>
                <w:szCs w:val="24"/>
              </w:rPr>
              <w:t>应长期从事旱作农业、粮油间套作栽培、区域生态环境改良、农技推广等相关研究工作，熟悉当地气候特征、土壤禀赋与种植管理痛点。所有参与起草人员应通晓山西省冷凉区生态特点、鲜食玉米大豆生长节律。</w:t>
            </w:r>
          </w:p>
        </w:tc>
      </w:tr>
    </w:tbl>
    <w:p w14:paraId="61AEA4B8">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217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05A9CEC5">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4D979B9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9D1A392">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772F2BC">
            <w:pPr>
              <w:jc w:val="center"/>
              <w:rPr>
                <w:rFonts w:ascii="Times New Roman" w:hAnsi="Times New Roman"/>
                <w:sz w:val="28"/>
                <w:szCs w:val="28"/>
              </w:rPr>
            </w:pPr>
            <w:r>
              <w:rPr>
                <w:rFonts w:hint="eastAsia" w:ascii="Times New Roman" w:hAnsi="Times New Roman" w:eastAsia="仿宋_GB2312"/>
                <w:sz w:val="28"/>
                <w:szCs w:val="28"/>
              </w:rPr>
              <w:t>中部地区冬小麦夏谷子一年两作生产技术规程</w:t>
            </w:r>
          </w:p>
        </w:tc>
      </w:tr>
      <w:tr w14:paraId="5422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22EA6069">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29</w:t>
            </w:r>
          </w:p>
        </w:tc>
        <w:tc>
          <w:tcPr>
            <w:tcW w:w="1951" w:type="dxa"/>
            <w:vMerge w:val="restart"/>
            <w:noWrap w:val="0"/>
            <w:vAlign w:val="center"/>
          </w:tcPr>
          <w:p w14:paraId="1478DC1F">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ZJ2026054</w:t>
            </w:r>
          </w:p>
        </w:tc>
        <w:tc>
          <w:tcPr>
            <w:tcW w:w="2607" w:type="dxa"/>
            <w:noWrap w:val="0"/>
            <w:vAlign w:val="center"/>
          </w:tcPr>
          <w:p w14:paraId="20CA196E">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9AE18B0">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039F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58D6AE71">
            <w:pPr>
              <w:jc w:val="center"/>
              <w:rPr>
                <w:rFonts w:ascii="Times New Roman" w:hAnsi="Times New Roman"/>
                <w:sz w:val="28"/>
                <w:szCs w:val="28"/>
              </w:rPr>
            </w:pPr>
          </w:p>
        </w:tc>
        <w:tc>
          <w:tcPr>
            <w:tcW w:w="1951" w:type="dxa"/>
            <w:vMerge w:val="continue"/>
            <w:noWrap w:val="0"/>
            <w:vAlign w:val="center"/>
          </w:tcPr>
          <w:p w14:paraId="73331303">
            <w:pPr>
              <w:jc w:val="center"/>
              <w:rPr>
                <w:rFonts w:ascii="Times New Roman" w:hAnsi="Times New Roman"/>
                <w:sz w:val="28"/>
                <w:szCs w:val="28"/>
              </w:rPr>
            </w:pPr>
          </w:p>
        </w:tc>
        <w:tc>
          <w:tcPr>
            <w:tcW w:w="2607" w:type="dxa"/>
            <w:noWrap w:val="0"/>
            <w:vAlign w:val="center"/>
          </w:tcPr>
          <w:p w14:paraId="6B32586A">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264588BE">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3F3E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11" w:hRule="atLeast"/>
        </w:trPr>
        <w:tc>
          <w:tcPr>
            <w:tcW w:w="894" w:type="dxa"/>
            <w:vMerge w:val="continue"/>
            <w:noWrap w:val="0"/>
            <w:vAlign w:val="center"/>
          </w:tcPr>
          <w:p w14:paraId="070C640A">
            <w:pPr>
              <w:jc w:val="center"/>
              <w:rPr>
                <w:rFonts w:ascii="Times New Roman" w:hAnsi="Times New Roman"/>
                <w:sz w:val="28"/>
                <w:szCs w:val="28"/>
              </w:rPr>
            </w:pPr>
          </w:p>
        </w:tc>
        <w:tc>
          <w:tcPr>
            <w:tcW w:w="1951" w:type="dxa"/>
            <w:vMerge w:val="continue"/>
            <w:noWrap w:val="0"/>
            <w:vAlign w:val="center"/>
          </w:tcPr>
          <w:p w14:paraId="583CD390">
            <w:pPr>
              <w:jc w:val="center"/>
              <w:rPr>
                <w:rFonts w:ascii="Times New Roman" w:hAnsi="Times New Roman"/>
                <w:sz w:val="28"/>
                <w:szCs w:val="28"/>
              </w:rPr>
            </w:pPr>
          </w:p>
        </w:tc>
        <w:tc>
          <w:tcPr>
            <w:tcW w:w="2607" w:type="dxa"/>
            <w:noWrap w:val="0"/>
            <w:vAlign w:val="center"/>
          </w:tcPr>
          <w:p w14:paraId="212B17E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218BFB7">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本标准适用于山西省中部光热资源较为丰富</w:t>
            </w:r>
            <w:r>
              <w:rPr>
                <w:rFonts w:hint="eastAsia" w:ascii="仿宋_GB2312" w:hAnsi="仿宋_GB2312" w:eastAsia="仿宋_GB2312" w:cs="仿宋_GB2312"/>
                <w:sz w:val="24"/>
                <w:szCs w:val="24"/>
                <w:lang w:eastAsia="zh-CN"/>
              </w:rPr>
              <w:t>且</w:t>
            </w:r>
            <w:r>
              <w:rPr>
                <w:rFonts w:hint="eastAsia" w:ascii="仿宋_GB2312" w:hAnsi="仿宋_GB2312" w:eastAsia="仿宋_GB2312" w:cs="仿宋_GB2312"/>
                <w:sz w:val="24"/>
                <w:szCs w:val="24"/>
              </w:rPr>
              <w:t>具备灌溉条件或较好有机旱作基础的区域。主要技术内容聚焦茬口无缝衔接与全程机械化，通过机械化作业实现</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收麦即播</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，为复播谷子争取宝贵生长时间，同时配套深翻灭茬、均衡施肥及病虫草害绿色防控等综合管理措施。</w:t>
            </w:r>
          </w:p>
        </w:tc>
      </w:tr>
      <w:tr w14:paraId="290B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9" w:hRule="atLeast"/>
        </w:trPr>
        <w:tc>
          <w:tcPr>
            <w:tcW w:w="894" w:type="dxa"/>
            <w:vMerge w:val="continue"/>
            <w:noWrap w:val="0"/>
            <w:vAlign w:val="center"/>
          </w:tcPr>
          <w:p w14:paraId="129EBF82">
            <w:pPr>
              <w:jc w:val="center"/>
              <w:rPr>
                <w:rFonts w:ascii="Times New Roman" w:hAnsi="Times New Roman"/>
                <w:sz w:val="28"/>
                <w:szCs w:val="28"/>
              </w:rPr>
            </w:pPr>
          </w:p>
        </w:tc>
        <w:tc>
          <w:tcPr>
            <w:tcW w:w="1951" w:type="dxa"/>
            <w:vMerge w:val="continue"/>
            <w:noWrap w:val="0"/>
            <w:vAlign w:val="center"/>
          </w:tcPr>
          <w:p w14:paraId="0AAB64D5">
            <w:pPr>
              <w:jc w:val="center"/>
              <w:rPr>
                <w:rFonts w:ascii="Times New Roman" w:hAnsi="Times New Roman"/>
                <w:sz w:val="28"/>
                <w:szCs w:val="28"/>
              </w:rPr>
            </w:pPr>
          </w:p>
        </w:tc>
        <w:tc>
          <w:tcPr>
            <w:tcW w:w="2607" w:type="dxa"/>
            <w:noWrap w:val="0"/>
            <w:vAlign w:val="center"/>
          </w:tcPr>
          <w:p w14:paraId="1D8C7C32">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EE66A37">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w:t>
            </w:r>
            <w:r>
              <w:rPr>
                <w:rFonts w:hint="eastAsia" w:ascii="仿宋_GB2312" w:hAnsi="仿宋_GB2312" w:eastAsia="仿宋_GB2312" w:cs="仿宋_GB2312"/>
                <w:sz w:val="24"/>
                <w:szCs w:val="24"/>
                <w:lang w:eastAsia="zh-CN"/>
              </w:rPr>
              <w:t>团队人员</w:t>
            </w:r>
            <w:r>
              <w:rPr>
                <w:rFonts w:hint="eastAsia" w:ascii="仿宋_GB2312" w:hAnsi="仿宋_GB2312" w:eastAsia="仿宋_GB2312" w:cs="仿宋_GB2312"/>
                <w:sz w:val="24"/>
                <w:szCs w:val="24"/>
              </w:rPr>
              <w:t>应为小麦栽培学、谷子育种学、栽培学等作物学科专家，配备精通旱作农业节水灌溉技术的专业人员；应包含熟悉谷子精量播种、联合收获机械化的农业机械化领域</w:t>
            </w:r>
            <w:r>
              <w:rPr>
                <w:rFonts w:hint="eastAsia" w:ascii="仿宋_GB2312" w:hAnsi="仿宋_GB2312" w:eastAsia="仿宋_GB2312" w:cs="仿宋_GB2312"/>
                <w:sz w:val="24"/>
                <w:szCs w:val="24"/>
                <w:lang w:val="en-US" w:eastAsia="zh-CN"/>
              </w:rPr>
              <w:t>人员</w:t>
            </w:r>
            <w:r>
              <w:rPr>
                <w:rFonts w:hint="eastAsia" w:ascii="仿宋_GB2312" w:hAnsi="仿宋_GB2312" w:eastAsia="仿宋_GB2312" w:cs="仿宋_GB2312"/>
                <w:sz w:val="24"/>
                <w:szCs w:val="24"/>
              </w:rPr>
              <w:t>。</w:t>
            </w:r>
          </w:p>
        </w:tc>
      </w:tr>
    </w:tbl>
    <w:p w14:paraId="298A2423"/>
    <w:p w14:paraId="3D4C3D41">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AAC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5E62DA60">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3B37F8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1BC2C690">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39AEFF86">
            <w:pPr>
              <w:jc w:val="center"/>
              <w:rPr>
                <w:rFonts w:ascii="Times New Roman" w:hAnsi="Times New Roman"/>
                <w:sz w:val="28"/>
                <w:szCs w:val="28"/>
              </w:rPr>
            </w:pPr>
            <w:r>
              <w:rPr>
                <w:rFonts w:hint="eastAsia" w:ascii="Times New Roman" w:hAnsi="Times New Roman" w:eastAsia="仿宋_GB2312"/>
                <w:sz w:val="28"/>
                <w:szCs w:val="28"/>
              </w:rPr>
              <w:t>玉米密植高产精准调控技术规程</w:t>
            </w:r>
          </w:p>
        </w:tc>
      </w:tr>
      <w:tr w14:paraId="6304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6403B1E7">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30</w:t>
            </w:r>
          </w:p>
        </w:tc>
        <w:tc>
          <w:tcPr>
            <w:tcW w:w="1951" w:type="dxa"/>
            <w:vMerge w:val="restart"/>
            <w:noWrap w:val="0"/>
            <w:vAlign w:val="center"/>
          </w:tcPr>
          <w:p w14:paraId="75247FD5">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ZJ2026055</w:t>
            </w:r>
          </w:p>
        </w:tc>
        <w:tc>
          <w:tcPr>
            <w:tcW w:w="2607" w:type="dxa"/>
            <w:noWrap w:val="0"/>
            <w:vAlign w:val="center"/>
          </w:tcPr>
          <w:p w14:paraId="11ACCDAB">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7755876">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5F86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3E6B9143">
            <w:pPr>
              <w:jc w:val="center"/>
              <w:rPr>
                <w:rFonts w:ascii="Times New Roman" w:hAnsi="Times New Roman"/>
                <w:sz w:val="28"/>
                <w:szCs w:val="28"/>
              </w:rPr>
            </w:pPr>
          </w:p>
        </w:tc>
        <w:tc>
          <w:tcPr>
            <w:tcW w:w="1951" w:type="dxa"/>
            <w:vMerge w:val="continue"/>
            <w:noWrap w:val="0"/>
            <w:vAlign w:val="center"/>
          </w:tcPr>
          <w:p w14:paraId="312C1A88">
            <w:pPr>
              <w:jc w:val="center"/>
              <w:rPr>
                <w:rFonts w:ascii="Times New Roman" w:hAnsi="Times New Roman"/>
                <w:sz w:val="28"/>
                <w:szCs w:val="28"/>
              </w:rPr>
            </w:pPr>
          </w:p>
        </w:tc>
        <w:tc>
          <w:tcPr>
            <w:tcW w:w="2607" w:type="dxa"/>
            <w:noWrap w:val="0"/>
            <w:vAlign w:val="center"/>
          </w:tcPr>
          <w:p w14:paraId="3944E2E3">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7DC6B9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223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9" w:hRule="atLeast"/>
        </w:trPr>
        <w:tc>
          <w:tcPr>
            <w:tcW w:w="894" w:type="dxa"/>
            <w:vMerge w:val="continue"/>
            <w:noWrap w:val="0"/>
            <w:vAlign w:val="center"/>
          </w:tcPr>
          <w:p w14:paraId="06DF1F64">
            <w:pPr>
              <w:jc w:val="center"/>
              <w:rPr>
                <w:rFonts w:ascii="Times New Roman" w:hAnsi="Times New Roman"/>
                <w:sz w:val="28"/>
                <w:szCs w:val="28"/>
              </w:rPr>
            </w:pPr>
          </w:p>
        </w:tc>
        <w:tc>
          <w:tcPr>
            <w:tcW w:w="1951" w:type="dxa"/>
            <w:vMerge w:val="continue"/>
            <w:noWrap w:val="0"/>
            <w:vAlign w:val="center"/>
          </w:tcPr>
          <w:p w14:paraId="6E816BF0">
            <w:pPr>
              <w:jc w:val="center"/>
              <w:rPr>
                <w:rFonts w:ascii="Times New Roman" w:hAnsi="Times New Roman"/>
                <w:sz w:val="28"/>
                <w:szCs w:val="28"/>
              </w:rPr>
            </w:pPr>
          </w:p>
        </w:tc>
        <w:tc>
          <w:tcPr>
            <w:tcW w:w="2607" w:type="dxa"/>
            <w:noWrap w:val="0"/>
            <w:vAlign w:val="center"/>
          </w:tcPr>
          <w:p w14:paraId="6C5F7597">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74B046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山西省春播玉米区和夏播玉米区，兼顾平川与丘陵山区不同地形条件及井水、河水、塘坝水等多种水源形式，根据生态区对技术要求进行细化。主要技术内容包括：合理确定基础条件，根据不同水源条件合理配置滴灌系统首部枢纽，同时对播前准备、播种、田间管理、水肥精准调控、机械收获、管带回收和秸秆处理等环节制定技术要求。</w:t>
            </w:r>
          </w:p>
        </w:tc>
      </w:tr>
      <w:tr w14:paraId="4BEE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894" w:type="dxa"/>
            <w:vMerge w:val="continue"/>
            <w:noWrap w:val="0"/>
            <w:vAlign w:val="center"/>
          </w:tcPr>
          <w:p w14:paraId="20954360">
            <w:pPr>
              <w:jc w:val="center"/>
              <w:rPr>
                <w:rFonts w:ascii="Times New Roman" w:hAnsi="Times New Roman"/>
                <w:sz w:val="28"/>
                <w:szCs w:val="28"/>
              </w:rPr>
            </w:pPr>
          </w:p>
        </w:tc>
        <w:tc>
          <w:tcPr>
            <w:tcW w:w="1951" w:type="dxa"/>
            <w:vMerge w:val="continue"/>
            <w:noWrap w:val="0"/>
            <w:vAlign w:val="center"/>
          </w:tcPr>
          <w:p w14:paraId="014C01E2">
            <w:pPr>
              <w:jc w:val="center"/>
              <w:rPr>
                <w:rFonts w:ascii="Times New Roman" w:hAnsi="Times New Roman"/>
                <w:sz w:val="28"/>
                <w:szCs w:val="28"/>
              </w:rPr>
            </w:pPr>
          </w:p>
        </w:tc>
        <w:tc>
          <w:tcPr>
            <w:tcW w:w="2607" w:type="dxa"/>
            <w:noWrap w:val="0"/>
            <w:vAlign w:val="center"/>
          </w:tcPr>
          <w:p w14:paraId="30BC9E5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51525E5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起草团队应涵盖作物栽培学与耕作学、植物营养学、植物保护学、农业工程（灌溉排水）等农学和工程类专业。团队人员</w:t>
            </w:r>
            <w:r>
              <w:rPr>
                <w:rFonts w:hint="eastAsia" w:ascii="仿宋_GB2312" w:hAnsi="仿宋_GB2312" w:eastAsia="仿宋_GB2312" w:cs="仿宋_GB2312"/>
                <w:sz w:val="24"/>
                <w:szCs w:val="24"/>
                <w:lang w:val="en-US" w:eastAsia="zh-CN"/>
              </w:rPr>
              <w:t>中至少有1人</w:t>
            </w:r>
            <w:r>
              <w:rPr>
                <w:rFonts w:hint="eastAsia" w:ascii="仿宋_GB2312" w:hAnsi="仿宋_GB2312" w:eastAsia="仿宋_GB2312" w:cs="仿宋_GB2312"/>
                <w:sz w:val="24"/>
                <w:szCs w:val="24"/>
              </w:rPr>
              <w:t>具备高级职称或博士学位，且具有3年以上农业科研、生产相关经历，熟悉春播玉米区与夏播玉米区生产实际，了解不同地形和水源条件下滴灌系统设计与管理。</w:t>
            </w:r>
          </w:p>
        </w:tc>
      </w:tr>
    </w:tbl>
    <w:p w14:paraId="58EE6296">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96C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25E81C7B">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73C92FA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51B25347">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023936E">
            <w:pPr>
              <w:jc w:val="center"/>
              <w:rPr>
                <w:rFonts w:ascii="Times New Roman" w:hAnsi="Times New Roman"/>
                <w:sz w:val="28"/>
                <w:szCs w:val="28"/>
              </w:rPr>
            </w:pPr>
            <w:r>
              <w:rPr>
                <w:rFonts w:hint="eastAsia" w:ascii="Times New Roman" w:hAnsi="Times New Roman" w:eastAsia="仿宋_GB2312"/>
                <w:sz w:val="28"/>
                <w:szCs w:val="28"/>
              </w:rPr>
              <w:t>旱塬区土壤蓄水保墒技术规程</w:t>
            </w:r>
          </w:p>
        </w:tc>
      </w:tr>
      <w:tr w14:paraId="14E5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94" w:type="dxa"/>
            <w:vMerge w:val="restart"/>
            <w:noWrap w:val="0"/>
            <w:vAlign w:val="center"/>
          </w:tcPr>
          <w:p w14:paraId="5A10FDAE">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31</w:t>
            </w:r>
          </w:p>
        </w:tc>
        <w:tc>
          <w:tcPr>
            <w:tcW w:w="1951" w:type="dxa"/>
            <w:vMerge w:val="restart"/>
            <w:noWrap w:val="0"/>
            <w:vAlign w:val="center"/>
          </w:tcPr>
          <w:p w14:paraId="2E6231B2">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ZJ2026056</w:t>
            </w:r>
          </w:p>
        </w:tc>
        <w:tc>
          <w:tcPr>
            <w:tcW w:w="2607" w:type="dxa"/>
            <w:noWrap w:val="0"/>
            <w:vAlign w:val="center"/>
          </w:tcPr>
          <w:p w14:paraId="4DC22E45">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62515825">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B7B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94" w:type="dxa"/>
            <w:vMerge w:val="continue"/>
            <w:noWrap w:val="0"/>
            <w:vAlign w:val="center"/>
          </w:tcPr>
          <w:p w14:paraId="3CA784B0">
            <w:pPr>
              <w:jc w:val="center"/>
              <w:rPr>
                <w:rFonts w:ascii="Times New Roman" w:hAnsi="Times New Roman"/>
                <w:sz w:val="28"/>
                <w:szCs w:val="28"/>
              </w:rPr>
            </w:pPr>
          </w:p>
        </w:tc>
        <w:tc>
          <w:tcPr>
            <w:tcW w:w="1951" w:type="dxa"/>
            <w:vMerge w:val="continue"/>
            <w:noWrap w:val="0"/>
            <w:vAlign w:val="center"/>
          </w:tcPr>
          <w:p w14:paraId="560C6E53">
            <w:pPr>
              <w:jc w:val="center"/>
              <w:rPr>
                <w:rFonts w:ascii="Times New Roman" w:hAnsi="Times New Roman"/>
                <w:sz w:val="28"/>
                <w:szCs w:val="28"/>
              </w:rPr>
            </w:pPr>
          </w:p>
        </w:tc>
        <w:tc>
          <w:tcPr>
            <w:tcW w:w="2607" w:type="dxa"/>
            <w:noWrap w:val="0"/>
            <w:vAlign w:val="center"/>
          </w:tcPr>
          <w:p w14:paraId="0012EDAD">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7EEA9DA4">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860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894" w:type="dxa"/>
            <w:vMerge w:val="continue"/>
            <w:noWrap w:val="0"/>
            <w:vAlign w:val="center"/>
          </w:tcPr>
          <w:p w14:paraId="08DD100E">
            <w:pPr>
              <w:jc w:val="center"/>
              <w:rPr>
                <w:rFonts w:ascii="Times New Roman" w:hAnsi="Times New Roman"/>
                <w:sz w:val="28"/>
                <w:szCs w:val="28"/>
              </w:rPr>
            </w:pPr>
          </w:p>
        </w:tc>
        <w:tc>
          <w:tcPr>
            <w:tcW w:w="1951" w:type="dxa"/>
            <w:vMerge w:val="continue"/>
            <w:noWrap w:val="0"/>
            <w:vAlign w:val="center"/>
          </w:tcPr>
          <w:p w14:paraId="309CD000">
            <w:pPr>
              <w:jc w:val="center"/>
              <w:rPr>
                <w:rFonts w:ascii="Times New Roman" w:hAnsi="Times New Roman"/>
                <w:sz w:val="28"/>
                <w:szCs w:val="28"/>
              </w:rPr>
            </w:pPr>
          </w:p>
        </w:tc>
        <w:tc>
          <w:tcPr>
            <w:tcW w:w="2607" w:type="dxa"/>
            <w:noWrap w:val="0"/>
            <w:vAlign w:val="center"/>
          </w:tcPr>
          <w:p w14:paraId="4CDD73C7">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668D8DB6">
            <w:r>
              <w:rPr>
                <w:rFonts w:hint="eastAsia" w:ascii="仿宋_GB2312" w:hAnsi="仿宋_GB2312" w:eastAsia="仿宋_GB2312" w:cs="仿宋_GB2312"/>
                <w:sz w:val="21"/>
                <w:szCs w:val="21"/>
              </w:rPr>
              <w:t>本标准适用于年降水量300mm～550mm、地形平缓、土层深厚、水土流失较轻的旱塬耕地，制定总体技术原则，规范蓄水耕作、覆盖保墒、培肥增墒、集雨蓄水与补灌、田间管理保墒等技术要求。</w:t>
            </w:r>
          </w:p>
        </w:tc>
      </w:tr>
      <w:tr w14:paraId="757B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5" w:hRule="atLeast"/>
        </w:trPr>
        <w:tc>
          <w:tcPr>
            <w:tcW w:w="894" w:type="dxa"/>
            <w:vMerge w:val="continue"/>
            <w:noWrap w:val="0"/>
            <w:vAlign w:val="center"/>
          </w:tcPr>
          <w:p w14:paraId="7CE9225B">
            <w:pPr>
              <w:jc w:val="center"/>
              <w:rPr>
                <w:rFonts w:ascii="Times New Roman" w:hAnsi="Times New Roman"/>
                <w:sz w:val="28"/>
                <w:szCs w:val="28"/>
              </w:rPr>
            </w:pPr>
          </w:p>
        </w:tc>
        <w:tc>
          <w:tcPr>
            <w:tcW w:w="1951" w:type="dxa"/>
            <w:vMerge w:val="continue"/>
            <w:noWrap w:val="0"/>
            <w:vAlign w:val="center"/>
          </w:tcPr>
          <w:p w14:paraId="4CA46C8D">
            <w:pPr>
              <w:jc w:val="center"/>
              <w:rPr>
                <w:rFonts w:ascii="Times New Roman" w:hAnsi="Times New Roman"/>
                <w:sz w:val="28"/>
                <w:szCs w:val="28"/>
              </w:rPr>
            </w:pPr>
          </w:p>
        </w:tc>
        <w:tc>
          <w:tcPr>
            <w:tcW w:w="2607" w:type="dxa"/>
            <w:noWrap w:val="0"/>
            <w:vAlign w:val="center"/>
          </w:tcPr>
          <w:p w14:paraId="51F5EF7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34253165">
            <w:r>
              <w:rPr>
                <w:rFonts w:hint="eastAsia" w:ascii="仿宋_GB2312" w:hAnsi="仿宋_GB2312" w:eastAsia="仿宋_GB2312" w:cs="仿宋_GB2312"/>
              </w:rPr>
              <w:t>起草团队不少于5人，应涵盖旱作农业、土壤学、农田水利、农学栽培、农业生态、标准化等专业，由科研院所与高等院校、农业技术推广中心、节水灌溉相关企业及技术机构构成。第一起草人须具备副高级及以上专业技术职称，专业为农学相关领域，从事作物栽培研究、推广工作5年以上，具有地方标准编制主持经验，主持编制地方标准至少1项。主要起草人员须具备中级及以上职称，且有3年以上相关工作经验，编制过至少1项地方标准。所有起草人员须掌握旱塬区土壤蓄水保墒核心技术，具备田间试验数据整理、技术比对及查重能力，能结合区域气候、土壤条件提出本地化技术参数。主持或参与过旱作节水、蓄水保墒、土壤改良等科研项目；有田间试验、数据监测、技术示范、成果转化经验；掌握墒情测定、水分利用效率、地力评价等方法。熟悉山西旱塬区气候、土壤、种植制度、生产痛点；能将科研技术转化为可操作、可推广、可考核的规程条款。</w:t>
            </w:r>
          </w:p>
        </w:tc>
      </w:tr>
    </w:tbl>
    <w:p w14:paraId="05150238">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5D25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670A4F64">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63869AB6">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C67C523">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171490E1">
            <w:pPr>
              <w:jc w:val="center"/>
              <w:rPr>
                <w:rFonts w:ascii="Times New Roman" w:hAnsi="Times New Roman"/>
                <w:sz w:val="28"/>
                <w:szCs w:val="28"/>
              </w:rPr>
            </w:pPr>
            <w:r>
              <w:rPr>
                <w:rFonts w:hint="eastAsia" w:ascii="Times New Roman" w:hAnsi="Times New Roman" w:eastAsia="仿宋_GB2312"/>
                <w:sz w:val="28"/>
                <w:szCs w:val="28"/>
              </w:rPr>
              <w:t>晋岚绒山羊选育技术规程</w:t>
            </w:r>
          </w:p>
        </w:tc>
      </w:tr>
      <w:tr w14:paraId="66B4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52B373B3">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32</w:t>
            </w:r>
          </w:p>
        </w:tc>
        <w:tc>
          <w:tcPr>
            <w:tcW w:w="1951" w:type="dxa"/>
            <w:vMerge w:val="restart"/>
            <w:noWrap w:val="0"/>
            <w:vAlign w:val="center"/>
          </w:tcPr>
          <w:p w14:paraId="0717C67E">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ZJ2026057</w:t>
            </w:r>
          </w:p>
        </w:tc>
        <w:tc>
          <w:tcPr>
            <w:tcW w:w="2607" w:type="dxa"/>
            <w:noWrap w:val="0"/>
            <w:vAlign w:val="center"/>
          </w:tcPr>
          <w:p w14:paraId="6880C235">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48A3BC3">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3F1C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73CDB729">
            <w:pPr>
              <w:jc w:val="center"/>
              <w:rPr>
                <w:rFonts w:ascii="Times New Roman" w:hAnsi="Times New Roman"/>
                <w:sz w:val="28"/>
                <w:szCs w:val="28"/>
              </w:rPr>
            </w:pPr>
          </w:p>
        </w:tc>
        <w:tc>
          <w:tcPr>
            <w:tcW w:w="1951" w:type="dxa"/>
            <w:vMerge w:val="continue"/>
            <w:noWrap w:val="0"/>
            <w:vAlign w:val="center"/>
          </w:tcPr>
          <w:p w14:paraId="3BEB5B92">
            <w:pPr>
              <w:jc w:val="center"/>
              <w:rPr>
                <w:rFonts w:ascii="Times New Roman" w:hAnsi="Times New Roman"/>
                <w:sz w:val="28"/>
                <w:szCs w:val="28"/>
              </w:rPr>
            </w:pPr>
          </w:p>
        </w:tc>
        <w:tc>
          <w:tcPr>
            <w:tcW w:w="2607" w:type="dxa"/>
            <w:noWrap w:val="0"/>
            <w:vAlign w:val="center"/>
          </w:tcPr>
          <w:p w14:paraId="69BFE24F">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4C5593B7">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0203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4A067A92">
            <w:pPr>
              <w:jc w:val="center"/>
              <w:rPr>
                <w:rFonts w:ascii="Times New Roman" w:hAnsi="Times New Roman"/>
                <w:sz w:val="28"/>
                <w:szCs w:val="28"/>
              </w:rPr>
            </w:pPr>
          </w:p>
        </w:tc>
        <w:tc>
          <w:tcPr>
            <w:tcW w:w="1951" w:type="dxa"/>
            <w:vMerge w:val="continue"/>
            <w:noWrap w:val="0"/>
            <w:vAlign w:val="center"/>
          </w:tcPr>
          <w:p w14:paraId="3DD38A3B">
            <w:pPr>
              <w:jc w:val="center"/>
              <w:rPr>
                <w:rFonts w:ascii="Times New Roman" w:hAnsi="Times New Roman"/>
                <w:sz w:val="28"/>
                <w:szCs w:val="28"/>
              </w:rPr>
            </w:pPr>
          </w:p>
        </w:tc>
        <w:tc>
          <w:tcPr>
            <w:tcW w:w="2607" w:type="dxa"/>
            <w:noWrap w:val="0"/>
            <w:vAlign w:val="center"/>
          </w:tcPr>
          <w:p w14:paraId="1048DCE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EBDE09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制定晋岚绒山羊选育原则，明确成年公羊、母羊、育成羊的体型外貌、体尺体重、产绒性能、绒纤维品质、繁殖性能指标，规范断奶选留、6月龄选择、12月龄选择、成年评定选种程序与淘汰标准，规定同质选配、异质选配、近交控制、后裔测定的技术要求，统一测定时间、方法、仪器、记录格式与数据管理要求，明确系谱、生产性能、选配、防疫、饲料等档案建立与保存要求。</w:t>
            </w:r>
          </w:p>
        </w:tc>
      </w:tr>
      <w:tr w14:paraId="0501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3" w:hRule="atLeast"/>
        </w:trPr>
        <w:tc>
          <w:tcPr>
            <w:tcW w:w="894" w:type="dxa"/>
            <w:vMerge w:val="continue"/>
            <w:noWrap w:val="0"/>
            <w:vAlign w:val="center"/>
          </w:tcPr>
          <w:p w14:paraId="25EA6C97">
            <w:pPr>
              <w:jc w:val="center"/>
              <w:rPr>
                <w:rFonts w:ascii="Times New Roman" w:hAnsi="Times New Roman"/>
                <w:sz w:val="28"/>
                <w:szCs w:val="28"/>
              </w:rPr>
            </w:pPr>
          </w:p>
        </w:tc>
        <w:tc>
          <w:tcPr>
            <w:tcW w:w="1951" w:type="dxa"/>
            <w:vMerge w:val="continue"/>
            <w:noWrap w:val="0"/>
            <w:vAlign w:val="center"/>
          </w:tcPr>
          <w:p w14:paraId="42D03DCD">
            <w:pPr>
              <w:jc w:val="center"/>
              <w:rPr>
                <w:rFonts w:ascii="Times New Roman" w:hAnsi="Times New Roman"/>
                <w:sz w:val="28"/>
                <w:szCs w:val="28"/>
              </w:rPr>
            </w:pPr>
          </w:p>
        </w:tc>
        <w:tc>
          <w:tcPr>
            <w:tcW w:w="2607" w:type="dxa"/>
            <w:noWrap w:val="0"/>
            <w:vAlign w:val="center"/>
          </w:tcPr>
          <w:p w14:paraId="426E5FBC">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066F3A0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起草团队应涵盖动物遗传育种、畜牧兽医、畜禽资源保护、养殖技术推广等专业，由科研院所、技术推广机构、核心育种场、养殖企业</w:t>
            </w:r>
            <w:r>
              <w:rPr>
                <w:rFonts w:hint="eastAsia" w:ascii="仿宋_GB2312" w:hAnsi="仿宋_GB2312" w:eastAsia="仿宋_GB2312" w:cs="仿宋_GB2312"/>
                <w:sz w:val="24"/>
                <w:szCs w:val="24"/>
                <w:lang w:val="en-US" w:eastAsia="zh-CN"/>
              </w:rPr>
              <w:t>等</w:t>
            </w:r>
            <w:r>
              <w:rPr>
                <w:rFonts w:hint="eastAsia" w:ascii="仿宋_GB2312" w:hAnsi="仿宋_GB2312" w:eastAsia="仿宋_GB2312" w:cs="仿宋_GB2312"/>
                <w:sz w:val="24"/>
                <w:szCs w:val="24"/>
              </w:rPr>
              <w:t>联合组成。</w:t>
            </w:r>
            <w:r>
              <w:rPr>
                <w:rFonts w:hint="eastAsia" w:ascii="仿宋_GB2312" w:hAnsi="仿宋_GB2312" w:eastAsia="仿宋_GB2312" w:cs="仿宋_GB2312"/>
                <w:sz w:val="24"/>
                <w:szCs w:val="24"/>
                <w:lang w:val="en-US" w:eastAsia="zh-CN"/>
              </w:rPr>
              <w:t>第一起草</w:t>
            </w:r>
            <w:r>
              <w:rPr>
                <w:rFonts w:hint="eastAsia" w:ascii="仿宋_GB2312" w:hAnsi="仿宋_GB2312" w:eastAsia="仿宋_GB2312" w:cs="仿宋_GB2312"/>
                <w:sz w:val="24"/>
                <w:szCs w:val="24"/>
              </w:rPr>
              <w:t>人应具有高级职称，长期从事绒山羊育种或技术推广工作；团队人员应熟悉晋岚绒山羊品种特性，掌握选种选配、性能测定、数据统计方法，具备标准编制、现场调研、试验验证、数据采集与分析能力。</w:t>
            </w:r>
          </w:p>
        </w:tc>
      </w:tr>
    </w:tbl>
    <w:p w14:paraId="325DC9AB">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416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4CE2D29E">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4C338AEB">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64688ABE">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8A2197B">
            <w:pPr>
              <w:jc w:val="center"/>
              <w:rPr>
                <w:rFonts w:ascii="Times New Roman" w:hAnsi="Times New Roman"/>
                <w:sz w:val="28"/>
                <w:szCs w:val="28"/>
              </w:rPr>
            </w:pPr>
            <w:r>
              <w:rPr>
                <w:rFonts w:hint="eastAsia" w:ascii="Times New Roman" w:hAnsi="Times New Roman" w:eastAsia="仿宋_GB2312"/>
                <w:sz w:val="28"/>
                <w:szCs w:val="28"/>
              </w:rPr>
              <w:t>立体非笼养蛋鸡饲养技术规程</w:t>
            </w:r>
          </w:p>
        </w:tc>
      </w:tr>
      <w:tr w14:paraId="78AE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640E708">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33</w:t>
            </w:r>
          </w:p>
        </w:tc>
        <w:tc>
          <w:tcPr>
            <w:tcW w:w="1951" w:type="dxa"/>
            <w:vMerge w:val="restart"/>
            <w:noWrap w:val="0"/>
            <w:vAlign w:val="center"/>
          </w:tcPr>
          <w:p w14:paraId="6BA1C30F">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ZJ2026058</w:t>
            </w:r>
          </w:p>
        </w:tc>
        <w:tc>
          <w:tcPr>
            <w:tcW w:w="2607" w:type="dxa"/>
            <w:noWrap w:val="0"/>
            <w:vAlign w:val="center"/>
          </w:tcPr>
          <w:p w14:paraId="048F8B1B">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5769B145">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1277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62760204">
            <w:pPr>
              <w:jc w:val="center"/>
              <w:rPr>
                <w:rFonts w:ascii="Times New Roman" w:hAnsi="Times New Roman"/>
                <w:sz w:val="28"/>
                <w:szCs w:val="28"/>
              </w:rPr>
            </w:pPr>
          </w:p>
        </w:tc>
        <w:tc>
          <w:tcPr>
            <w:tcW w:w="1951" w:type="dxa"/>
            <w:vMerge w:val="continue"/>
            <w:noWrap w:val="0"/>
            <w:vAlign w:val="center"/>
          </w:tcPr>
          <w:p w14:paraId="4A8C35EF">
            <w:pPr>
              <w:jc w:val="center"/>
              <w:rPr>
                <w:rFonts w:ascii="Times New Roman" w:hAnsi="Times New Roman"/>
                <w:sz w:val="28"/>
                <w:szCs w:val="28"/>
              </w:rPr>
            </w:pPr>
          </w:p>
        </w:tc>
        <w:tc>
          <w:tcPr>
            <w:tcW w:w="2607" w:type="dxa"/>
            <w:noWrap w:val="0"/>
            <w:vAlign w:val="center"/>
          </w:tcPr>
          <w:p w14:paraId="6EF97D20">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75B7116">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2D39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5F3C0821">
            <w:pPr>
              <w:jc w:val="center"/>
              <w:rPr>
                <w:rFonts w:ascii="Times New Roman" w:hAnsi="Times New Roman"/>
                <w:sz w:val="28"/>
                <w:szCs w:val="28"/>
              </w:rPr>
            </w:pPr>
          </w:p>
        </w:tc>
        <w:tc>
          <w:tcPr>
            <w:tcW w:w="1951" w:type="dxa"/>
            <w:vMerge w:val="continue"/>
            <w:noWrap w:val="0"/>
            <w:vAlign w:val="center"/>
          </w:tcPr>
          <w:p w14:paraId="7D7F8DCE">
            <w:pPr>
              <w:jc w:val="center"/>
              <w:rPr>
                <w:rFonts w:ascii="Times New Roman" w:hAnsi="Times New Roman"/>
                <w:sz w:val="28"/>
                <w:szCs w:val="28"/>
              </w:rPr>
            </w:pPr>
          </w:p>
        </w:tc>
        <w:tc>
          <w:tcPr>
            <w:tcW w:w="2607" w:type="dxa"/>
            <w:noWrap w:val="0"/>
            <w:vAlign w:val="center"/>
          </w:tcPr>
          <w:p w14:paraId="0E48F5DE">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995FCB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核心技术内容包括：鸡舍内多层栖架系统建设，并根据每个饲养阶段生长发育特点和饲养管理要点，制定相应的设施设备技术要求以及青年鸡管理、环境管理、饲喂和饮水管理、营养与保健、鸡蛋产品管理的措施和基本要求等内容，提高蛋鸡福利水平、产蛋性能和产品品质。</w:t>
            </w:r>
          </w:p>
        </w:tc>
      </w:tr>
      <w:tr w14:paraId="2D25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8" w:hRule="atLeast"/>
        </w:trPr>
        <w:tc>
          <w:tcPr>
            <w:tcW w:w="894" w:type="dxa"/>
            <w:vMerge w:val="continue"/>
            <w:noWrap w:val="0"/>
            <w:vAlign w:val="center"/>
          </w:tcPr>
          <w:p w14:paraId="19A9E003">
            <w:pPr>
              <w:jc w:val="center"/>
              <w:rPr>
                <w:rFonts w:ascii="Times New Roman" w:hAnsi="Times New Roman"/>
                <w:sz w:val="28"/>
                <w:szCs w:val="28"/>
              </w:rPr>
            </w:pPr>
          </w:p>
        </w:tc>
        <w:tc>
          <w:tcPr>
            <w:tcW w:w="1951" w:type="dxa"/>
            <w:vMerge w:val="continue"/>
            <w:noWrap w:val="0"/>
            <w:vAlign w:val="center"/>
          </w:tcPr>
          <w:p w14:paraId="01CF205D">
            <w:pPr>
              <w:jc w:val="center"/>
              <w:rPr>
                <w:rFonts w:ascii="Times New Roman" w:hAnsi="Times New Roman"/>
                <w:sz w:val="28"/>
                <w:szCs w:val="28"/>
              </w:rPr>
            </w:pPr>
          </w:p>
        </w:tc>
        <w:tc>
          <w:tcPr>
            <w:tcW w:w="2607" w:type="dxa"/>
            <w:noWrap w:val="0"/>
            <w:vAlign w:val="center"/>
          </w:tcPr>
          <w:p w14:paraId="629D282A">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6AD85A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起草团队应具备蛋鸡养殖专业技术背景，应在蛋鸡饲养领域具备较丰富的实践经验。</w:t>
            </w:r>
          </w:p>
        </w:tc>
      </w:tr>
    </w:tbl>
    <w:p w14:paraId="6C36E3A7"/>
    <w:p w14:paraId="3C5E3F7E">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3579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46262F7F">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50481552">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332304D">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7D57C3AB">
            <w:pPr>
              <w:jc w:val="center"/>
              <w:rPr>
                <w:rFonts w:ascii="Times New Roman" w:hAnsi="Times New Roman"/>
                <w:sz w:val="28"/>
                <w:szCs w:val="28"/>
              </w:rPr>
            </w:pPr>
            <w:r>
              <w:rPr>
                <w:rFonts w:hint="eastAsia" w:ascii="Times New Roman" w:hAnsi="Times New Roman" w:eastAsia="仿宋_GB2312"/>
                <w:sz w:val="28"/>
                <w:szCs w:val="28"/>
              </w:rPr>
              <w:t>动物氟、砷中毒防控技术规程</w:t>
            </w:r>
          </w:p>
        </w:tc>
      </w:tr>
      <w:tr w14:paraId="0100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100D5488">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34</w:t>
            </w:r>
          </w:p>
        </w:tc>
        <w:tc>
          <w:tcPr>
            <w:tcW w:w="1951" w:type="dxa"/>
            <w:vMerge w:val="restart"/>
            <w:noWrap w:val="0"/>
            <w:vAlign w:val="center"/>
          </w:tcPr>
          <w:p w14:paraId="7350960E">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ZJ2026059</w:t>
            </w:r>
          </w:p>
        </w:tc>
        <w:tc>
          <w:tcPr>
            <w:tcW w:w="2607" w:type="dxa"/>
            <w:noWrap w:val="0"/>
            <w:vAlign w:val="center"/>
          </w:tcPr>
          <w:p w14:paraId="3264960A">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4F332954">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160C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7D0B6B1F">
            <w:pPr>
              <w:jc w:val="center"/>
              <w:rPr>
                <w:rFonts w:ascii="Times New Roman" w:hAnsi="Times New Roman"/>
                <w:sz w:val="28"/>
                <w:szCs w:val="28"/>
              </w:rPr>
            </w:pPr>
          </w:p>
        </w:tc>
        <w:tc>
          <w:tcPr>
            <w:tcW w:w="1951" w:type="dxa"/>
            <w:vMerge w:val="continue"/>
            <w:noWrap w:val="0"/>
            <w:vAlign w:val="center"/>
          </w:tcPr>
          <w:p w14:paraId="1F32DDC2">
            <w:pPr>
              <w:jc w:val="center"/>
              <w:rPr>
                <w:rFonts w:ascii="Times New Roman" w:hAnsi="Times New Roman"/>
                <w:sz w:val="28"/>
                <w:szCs w:val="28"/>
              </w:rPr>
            </w:pPr>
          </w:p>
        </w:tc>
        <w:tc>
          <w:tcPr>
            <w:tcW w:w="2607" w:type="dxa"/>
            <w:noWrap w:val="0"/>
            <w:vAlign w:val="center"/>
          </w:tcPr>
          <w:p w14:paraId="5ED6ACDF">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10C97F5">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539D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41BCB9D2">
            <w:pPr>
              <w:jc w:val="center"/>
              <w:rPr>
                <w:rFonts w:ascii="Times New Roman" w:hAnsi="Times New Roman"/>
                <w:sz w:val="28"/>
                <w:szCs w:val="28"/>
              </w:rPr>
            </w:pPr>
          </w:p>
        </w:tc>
        <w:tc>
          <w:tcPr>
            <w:tcW w:w="1951" w:type="dxa"/>
            <w:vMerge w:val="continue"/>
            <w:noWrap w:val="0"/>
            <w:vAlign w:val="center"/>
          </w:tcPr>
          <w:p w14:paraId="0A9AF66D">
            <w:pPr>
              <w:jc w:val="center"/>
              <w:rPr>
                <w:rFonts w:ascii="Times New Roman" w:hAnsi="Times New Roman"/>
                <w:sz w:val="28"/>
                <w:szCs w:val="28"/>
              </w:rPr>
            </w:pPr>
          </w:p>
        </w:tc>
        <w:tc>
          <w:tcPr>
            <w:tcW w:w="2607" w:type="dxa"/>
            <w:noWrap w:val="0"/>
            <w:vAlign w:val="center"/>
          </w:tcPr>
          <w:p w14:paraId="16B78130">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361226B9">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本标准适用于牛、羊、猪、鸡等动物急慢性氟、砷中毒的防控。主要技术内容包括：动物氟、砷急性和慢性中毒的诊断与控制，动物氟、砷中毒的预防与控制。</w:t>
            </w:r>
          </w:p>
        </w:tc>
      </w:tr>
      <w:tr w14:paraId="795C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trPr>
        <w:tc>
          <w:tcPr>
            <w:tcW w:w="894" w:type="dxa"/>
            <w:vMerge w:val="continue"/>
            <w:noWrap w:val="0"/>
            <w:vAlign w:val="center"/>
          </w:tcPr>
          <w:p w14:paraId="0D247ADD">
            <w:pPr>
              <w:jc w:val="center"/>
              <w:rPr>
                <w:rFonts w:ascii="Times New Roman" w:hAnsi="Times New Roman"/>
                <w:sz w:val="28"/>
                <w:szCs w:val="28"/>
              </w:rPr>
            </w:pPr>
          </w:p>
        </w:tc>
        <w:tc>
          <w:tcPr>
            <w:tcW w:w="1951" w:type="dxa"/>
            <w:vMerge w:val="continue"/>
            <w:noWrap w:val="0"/>
            <w:vAlign w:val="center"/>
          </w:tcPr>
          <w:p w14:paraId="4707B9D2">
            <w:pPr>
              <w:jc w:val="center"/>
              <w:rPr>
                <w:rFonts w:ascii="Times New Roman" w:hAnsi="Times New Roman"/>
                <w:sz w:val="28"/>
                <w:szCs w:val="28"/>
              </w:rPr>
            </w:pPr>
          </w:p>
        </w:tc>
        <w:tc>
          <w:tcPr>
            <w:tcW w:w="2607" w:type="dxa"/>
            <w:noWrap w:val="0"/>
            <w:vAlign w:val="center"/>
          </w:tcPr>
          <w:p w14:paraId="4FDCFE03">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384140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起草团队人员</w:t>
            </w:r>
            <w:r>
              <w:rPr>
                <w:rFonts w:hint="eastAsia" w:ascii="仿宋_GB2312" w:hAnsi="仿宋_GB2312" w:eastAsia="仿宋_GB2312" w:cs="仿宋_GB2312"/>
                <w:sz w:val="24"/>
                <w:szCs w:val="24"/>
                <w:lang w:val="en-US" w:eastAsia="zh-CN"/>
              </w:rPr>
              <w:t>均</w:t>
            </w:r>
            <w:r>
              <w:rPr>
                <w:rFonts w:hint="eastAsia" w:ascii="仿宋_GB2312" w:hAnsi="仿宋_GB2312" w:eastAsia="仿宋_GB2312" w:cs="仿宋_GB2312"/>
                <w:sz w:val="24"/>
                <w:szCs w:val="24"/>
              </w:rPr>
              <w:t>应长期从事动物氟、砷中毒研究，</w:t>
            </w:r>
            <w:r>
              <w:rPr>
                <w:rFonts w:hint="eastAsia" w:ascii="仿宋_GB2312" w:hAnsi="仿宋_GB2312" w:eastAsia="仿宋_GB2312" w:cs="仿宋_GB2312"/>
                <w:sz w:val="24"/>
                <w:szCs w:val="24"/>
                <w:lang w:val="en-US" w:eastAsia="zh-CN"/>
              </w:rPr>
              <w:t>团队成员中应有</w:t>
            </w:r>
            <w:r>
              <w:rPr>
                <w:rFonts w:hint="eastAsia" w:ascii="仿宋_GB2312" w:hAnsi="仿宋_GB2312" w:eastAsia="仿宋_GB2312" w:cs="仿宋_GB2312"/>
                <w:sz w:val="24"/>
                <w:szCs w:val="24"/>
              </w:rPr>
              <w:t>主持完成相关国家级和省级项目</w:t>
            </w:r>
            <w:r>
              <w:rPr>
                <w:rFonts w:hint="eastAsia" w:ascii="仿宋_GB2312" w:hAnsi="仿宋_GB2312" w:eastAsia="仿宋_GB2312" w:cs="仿宋_GB2312"/>
                <w:sz w:val="24"/>
                <w:szCs w:val="24"/>
                <w:lang w:val="en-US" w:eastAsia="zh-CN"/>
              </w:rPr>
              <w:t>人员</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取得相关理论和技术研究成果，应</w:t>
            </w:r>
            <w:r>
              <w:rPr>
                <w:rFonts w:hint="eastAsia" w:ascii="仿宋_GB2312" w:hAnsi="仿宋_GB2312" w:eastAsia="仿宋_GB2312" w:cs="仿宋_GB2312"/>
                <w:sz w:val="24"/>
                <w:szCs w:val="24"/>
                <w:lang w:val="en-US" w:eastAsia="zh-CN"/>
              </w:rPr>
              <w:t>包含</w:t>
            </w:r>
            <w:r>
              <w:rPr>
                <w:rFonts w:hint="eastAsia" w:ascii="仿宋_GB2312" w:hAnsi="仿宋_GB2312" w:eastAsia="仿宋_GB2312" w:cs="仿宋_GB2312"/>
                <w:sz w:val="24"/>
                <w:szCs w:val="24"/>
              </w:rPr>
              <w:t>获得相关专利和省部级奖励的畜牧兽医及相关专业人员。</w:t>
            </w:r>
          </w:p>
        </w:tc>
      </w:tr>
    </w:tbl>
    <w:p w14:paraId="57B3593C"/>
    <w:p w14:paraId="59A37001">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6B2A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3210F60C">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08A3EEBA">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498899EB">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68D9E3D4">
            <w:pPr>
              <w:jc w:val="center"/>
              <w:rPr>
                <w:rFonts w:ascii="Times New Roman" w:hAnsi="Times New Roman"/>
                <w:sz w:val="28"/>
                <w:szCs w:val="28"/>
              </w:rPr>
            </w:pPr>
            <w:r>
              <w:rPr>
                <w:rFonts w:hint="eastAsia" w:ascii="Times New Roman" w:hAnsi="Times New Roman" w:eastAsia="仿宋_GB2312"/>
                <w:sz w:val="28"/>
                <w:szCs w:val="28"/>
              </w:rPr>
              <w:t>边鸡养殖社会化服务规范</w:t>
            </w:r>
          </w:p>
        </w:tc>
      </w:tr>
      <w:tr w14:paraId="4BDA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726AB9BD">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35</w:t>
            </w:r>
          </w:p>
        </w:tc>
        <w:tc>
          <w:tcPr>
            <w:tcW w:w="1951" w:type="dxa"/>
            <w:vMerge w:val="restart"/>
            <w:noWrap w:val="0"/>
            <w:vAlign w:val="center"/>
          </w:tcPr>
          <w:p w14:paraId="47B2B70C">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ZJ2026060</w:t>
            </w:r>
          </w:p>
        </w:tc>
        <w:tc>
          <w:tcPr>
            <w:tcW w:w="2607" w:type="dxa"/>
            <w:noWrap w:val="0"/>
            <w:vAlign w:val="center"/>
          </w:tcPr>
          <w:p w14:paraId="3F9237CA">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8D566A1">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5283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207D1CCE">
            <w:pPr>
              <w:jc w:val="center"/>
              <w:rPr>
                <w:rFonts w:ascii="Times New Roman" w:hAnsi="Times New Roman"/>
                <w:sz w:val="28"/>
                <w:szCs w:val="28"/>
              </w:rPr>
            </w:pPr>
          </w:p>
        </w:tc>
        <w:tc>
          <w:tcPr>
            <w:tcW w:w="1951" w:type="dxa"/>
            <w:vMerge w:val="continue"/>
            <w:noWrap w:val="0"/>
            <w:vAlign w:val="center"/>
          </w:tcPr>
          <w:p w14:paraId="171DE9FC">
            <w:pPr>
              <w:jc w:val="center"/>
              <w:rPr>
                <w:rFonts w:ascii="Times New Roman" w:hAnsi="Times New Roman"/>
                <w:sz w:val="28"/>
                <w:szCs w:val="28"/>
              </w:rPr>
            </w:pPr>
          </w:p>
        </w:tc>
        <w:tc>
          <w:tcPr>
            <w:tcW w:w="2607" w:type="dxa"/>
            <w:noWrap w:val="0"/>
            <w:vAlign w:val="center"/>
          </w:tcPr>
          <w:p w14:paraId="37A6D34C">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86ED96E">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6750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8" w:hRule="atLeast"/>
        </w:trPr>
        <w:tc>
          <w:tcPr>
            <w:tcW w:w="894" w:type="dxa"/>
            <w:vMerge w:val="continue"/>
            <w:noWrap w:val="0"/>
            <w:vAlign w:val="center"/>
          </w:tcPr>
          <w:p w14:paraId="0F92C323">
            <w:pPr>
              <w:jc w:val="center"/>
              <w:rPr>
                <w:rFonts w:ascii="Times New Roman" w:hAnsi="Times New Roman"/>
                <w:sz w:val="28"/>
                <w:szCs w:val="28"/>
              </w:rPr>
            </w:pPr>
          </w:p>
        </w:tc>
        <w:tc>
          <w:tcPr>
            <w:tcW w:w="1951" w:type="dxa"/>
            <w:vMerge w:val="continue"/>
            <w:noWrap w:val="0"/>
            <w:vAlign w:val="center"/>
          </w:tcPr>
          <w:p w14:paraId="00FF0145">
            <w:pPr>
              <w:jc w:val="center"/>
              <w:rPr>
                <w:rFonts w:ascii="Times New Roman" w:hAnsi="Times New Roman"/>
                <w:sz w:val="28"/>
                <w:szCs w:val="28"/>
              </w:rPr>
            </w:pPr>
          </w:p>
        </w:tc>
        <w:tc>
          <w:tcPr>
            <w:tcW w:w="2607" w:type="dxa"/>
            <w:noWrap w:val="0"/>
            <w:vAlign w:val="center"/>
          </w:tcPr>
          <w:p w14:paraId="785025D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864A69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山西省内边鸡养殖相关的社会化服务活动，主要内容包括：种鸡供应，明确边鸡种鸡的选择标准、检疫要求、运输规范和分发流程等；技术指导，明确边鸡不同生长阶段的饲养管理、环境调控、日常护理等要求；疫病防控，明确边鸡常见疫病的监测、预警处置等要求；饲料调配，明确不同生长阶段的配方、调配方法和饲喂要求；培训与技术推广，明确培训内容、方式和考核等要求；档案管理，规范服务记录的内容与管理等要求。</w:t>
            </w:r>
          </w:p>
        </w:tc>
      </w:tr>
      <w:tr w14:paraId="1B05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6" w:hRule="atLeast"/>
        </w:trPr>
        <w:tc>
          <w:tcPr>
            <w:tcW w:w="894" w:type="dxa"/>
            <w:vMerge w:val="continue"/>
            <w:noWrap w:val="0"/>
            <w:vAlign w:val="center"/>
          </w:tcPr>
          <w:p w14:paraId="641D6AF2">
            <w:pPr>
              <w:jc w:val="center"/>
              <w:rPr>
                <w:rFonts w:ascii="Times New Roman" w:hAnsi="Times New Roman"/>
                <w:sz w:val="28"/>
                <w:szCs w:val="28"/>
              </w:rPr>
            </w:pPr>
          </w:p>
        </w:tc>
        <w:tc>
          <w:tcPr>
            <w:tcW w:w="1951" w:type="dxa"/>
            <w:vMerge w:val="continue"/>
            <w:noWrap w:val="0"/>
            <w:vAlign w:val="center"/>
          </w:tcPr>
          <w:p w14:paraId="2CB74481">
            <w:pPr>
              <w:jc w:val="center"/>
              <w:rPr>
                <w:rFonts w:ascii="Times New Roman" w:hAnsi="Times New Roman"/>
                <w:sz w:val="28"/>
                <w:szCs w:val="28"/>
              </w:rPr>
            </w:pPr>
          </w:p>
        </w:tc>
        <w:tc>
          <w:tcPr>
            <w:tcW w:w="2607" w:type="dxa"/>
            <w:noWrap w:val="0"/>
            <w:vAlign w:val="center"/>
          </w:tcPr>
          <w:p w14:paraId="67F60C9B">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254C59F1">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起草团队专业应涵盖边鸡养殖、农业社会化服务和标准化等领域。团队人员</w:t>
            </w:r>
            <w:r>
              <w:rPr>
                <w:rFonts w:hint="eastAsia" w:ascii="仿宋_GB2312" w:hAnsi="仿宋_GB2312" w:eastAsia="仿宋_GB2312" w:cs="仿宋_GB2312"/>
                <w:sz w:val="24"/>
                <w:szCs w:val="24"/>
                <w:lang w:val="en-US" w:eastAsia="zh-CN"/>
              </w:rPr>
              <w:t>应</w:t>
            </w:r>
            <w:r>
              <w:rPr>
                <w:rFonts w:hint="eastAsia" w:ascii="仿宋_GB2312" w:hAnsi="仿宋_GB2312" w:eastAsia="仿宋_GB2312" w:cs="仿宋_GB2312"/>
                <w:sz w:val="24"/>
                <w:szCs w:val="24"/>
              </w:rPr>
              <w:t>熟悉边鸡品种特性、保种技术、南北地域养殖差异、生态养殖、疫病防控、饲料搭配等核心技术；熟悉农业社会化服务流程和模式；熟悉地方标准制定流程和农业标准化相关要求。</w:t>
            </w:r>
          </w:p>
        </w:tc>
      </w:tr>
    </w:tbl>
    <w:p w14:paraId="6706EB96">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5E02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94" w:type="dxa"/>
            <w:noWrap w:val="0"/>
            <w:vAlign w:val="center"/>
          </w:tcPr>
          <w:p w14:paraId="1641B565">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62F2AB7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4CD032F7">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3B42CC03">
            <w:pPr>
              <w:jc w:val="center"/>
              <w:rPr>
                <w:rFonts w:ascii="Times New Roman" w:hAnsi="Times New Roman"/>
                <w:sz w:val="28"/>
                <w:szCs w:val="28"/>
              </w:rPr>
            </w:pPr>
            <w:r>
              <w:rPr>
                <w:rFonts w:hint="eastAsia" w:ascii="Times New Roman" w:hAnsi="Times New Roman" w:eastAsia="仿宋_GB2312"/>
                <w:sz w:val="28"/>
                <w:szCs w:val="28"/>
              </w:rPr>
              <w:t>河鲈工厂化养殖技术规程</w:t>
            </w:r>
          </w:p>
        </w:tc>
      </w:tr>
      <w:tr w14:paraId="1B72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94" w:type="dxa"/>
            <w:vMerge w:val="restart"/>
            <w:noWrap w:val="0"/>
            <w:vAlign w:val="center"/>
          </w:tcPr>
          <w:p w14:paraId="24E553F7">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36</w:t>
            </w:r>
          </w:p>
        </w:tc>
        <w:tc>
          <w:tcPr>
            <w:tcW w:w="1951" w:type="dxa"/>
            <w:vMerge w:val="restart"/>
            <w:noWrap w:val="0"/>
            <w:vAlign w:val="center"/>
          </w:tcPr>
          <w:p w14:paraId="4D0DF7AB">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ZJ2026061</w:t>
            </w:r>
          </w:p>
        </w:tc>
        <w:tc>
          <w:tcPr>
            <w:tcW w:w="2607" w:type="dxa"/>
            <w:noWrap w:val="0"/>
            <w:vAlign w:val="center"/>
          </w:tcPr>
          <w:p w14:paraId="57AB97D4">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527745B5">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6009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894" w:type="dxa"/>
            <w:vMerge w:val="continue"/>
            <w:noWrap w:val="0"/>
            <w:vAlign w:val="center"/>
          </w:tcPr>
          <w:p w14:paraId="69C00535">
            <w:pPr>
              <w:jc w:val="center"/>
              <w:rPr>
                <w:rFonts w:ascii="Times New Roman" w:hAnsi="Times New Roman"/>
                <w:sz w:val="28"/>
                <w:szCs w:val="28"/>
              </w:rPr>
            </w:pPr>
          </w:p>
        </w:tc>
        <w:tc>
          <w:tcPr>
            <w:tcW w:w="1951" w:type="dxa"/>
            <w:vMerge w:val="continue"/>
            <w:noWrap w:val="0"/>
            <w:vAlign w:val="center"/>
          </w:tcPr>
          <w:p w14:paraId="035207D9">
            <w:pPr>
              <w:jc w:val="center"/>
              <w:rPr>
                <w:rFonts w:ascii="Times New Roman" w:hAnsi="Times New Roman"/>
                <w:sz w:val="28"/>
                <w:szCs w:val="28"/>
              </w:rPr>
            </w:pPr>
          </w:p>
        </w:tc>
        <w:tc>
          <w:tcPr>
            <w:tcW w:w="2607" w:type="dxa"/>
            <w:noWrap w:val="0"/>
            <w:vAlign w:val="center"/>
          </w:tcPr>
          <w:p w14:paraId="01CE6356">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6790FC35">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山西省农业农村厅</w:t>
            </w:r>
          </w:p>
        </w:tc>
      </w:tr>
      <w:tr w14:paraId="46D0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894" w:type="dxa"/>
            <w:vMerge w:val="continue"/>
            <w:noWrap w:val="0"/>
            <w:vAlign w:val="center"/>
          </w:tcPr>
          <w:p w14:paraId="7329568E">
            <w:pPr>
              <w:jc w:val="center"/>
              <w:rPr>
                <w:rFonts w:ascii="Times New Roman" w:hAnsi="Times New Roman"/>
                <w:sz w:val="28"/>
                <w:szCs w:val="28"/>
              </w:rPr>
            </w:pPr>
          </w:p>
        </w:tc>
        <w:tc>
          <w:tcPr>
            <w:tcW w:w="1951" w:type="dxa"/>
            <w:vMerge w:val="continue"/>
            <w:noWrap w:val="0"/>
            <w:vAlign w:val="center"/>
          </w:tcPr>
          <w:p w14:paraId="44001613">
            <w:pPr>
              <w:jc w:val="center"/>
              <w:rPr>
                <w:rFonts w:ascii="Times New Roman" w:hAnsi="Times New Roman"/>
                <w:sz w:val="28"/>
                <w:szCs w:val="28"/>
              </w:rPr>
            </w:pPr>
          </w:p>
        </w:tc>
        <w:tc>
          <w:tcPr>
            <w:tcW w:w="2607" w:type="dxa"/>
            <w:noWrap w:val="0"/>
            <w:vAlign w:val="center"/>
          </w:tcPr>
          <w:p w14:paraId="50D27A63">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71F9410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标准适用于工厂化河鲈养殖，通过对苗种选择、苗种驯化、养殖密度、水质调控、饲料投喂、病害防治、运输保障等关键环节的操作和技术要求进行规范，为全省河鲈工厂化、规模化养殖提供科学依据和技术规程。</w:t>
            </w:r>
          </w:p>
        </w:tc>
      </w:tr>
      <w:tr w14:paraId="5EEE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894" w:type="dxa"/>
            <w:vMerge w:val="continue"/>
            <w:noWrap w:val="0"/>
            <w:vAlign w:val="center"/>
          </w:tcPr>
          <w:p w14:paraId="66CB24F9">
            <w:pPr>
              <w:jc w:val="center"/>
              <w:rPr>
                <w:rFonts w:ascii="Times New Roman" w:hAnsi="Times New Roman"/>
                <w:sz w:val="28"/>
                <w:szCs w:val="28"/>
              </w:rPr>
            </w:pPr>
          </w:p>
        </w:tc>
        <w:tc>
          <w:tcPr>
            <w:tcW w:w="1951" w:type="dxa"/>
            <w:vMerge w:val="continue"/>
            <w:noWrap w:val="0"/>
            <w:vAlign w:val="center"/>
          </w:tcPr>
          <w:p w14:paraId="61347DC2">
            <w:pPr>
              <w:jc w:val="center"/>
              <w:rPr>
                <w:rFonts w:ascii="Times New Roman" w:hAnsi="Times New Roman"/>
                <w:sz w:val="28"/>
                <w:szCs w:val="28"/>
              </w:rPr>
            </w:pPr>
          </w:p>
        </w:tc>
        <w:tc>
          <w:tcPr>
            <w:tcW w:w="2607" w:type="dxa"/>
            <w:noWrap w:val="0"/>
            <w:vAlign w:val="center"/>
          </w:tcPr>
          <w:p w14:paraId="4ECFC625">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6F1ED02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起草团队应</w:t>
            </w:r>
            <w:r>
              <w:rPr>
                <w:rFonts w:hint="eastAsia" w:ascii="仿宋_GB2312" w:hAnsi="仿宋_GB2312" w:eastAsia="仿宋_GB2312" w:cs="仿宋_GB2312"/>
                <w:sz w:val="24"/>
                <w:szCs w:val="24"/>
                <w:lang w:val="en-US" w:eastAsia="zh-CN"/>
              </w:rPr>
              <w:t>包含</w:t>
            </w:r>
            <w:r>
              <w:rPr>
                <w:rFonts w:hint="eastAsia" w:ascii="仿宋_GB2312" w:hAnsi="仿宋_GB2312" w:eastAsia="仿宋_GB2312" w:cs="仿宋_GB2312"/>
                <w:sz w:val="24"/>
                <w:szCs w:val="24"/>
              </w:rPr>
              <w:t>水产养殖专业人员，并具有丰富的河鲈工厂化养殖技术经验。</w:t>
            </w:r>
          </w:p>
        </w:tc>
      </w:tr>
    </w:tbl>
    <w:p w14:paraId="056DC064">
      <w:pPr>
        <w:rPr>
          <w:rFonts w:hint="eastAsia" w:eastAsia="宋体"/>
          <w:lang w:eastAsia="zh-CN"/>
        </w:rPr>
      </w:pPr>
    </w:p>
    <w:p w14:paraId="79CDB311">
      <w:pPr>
        <w:rPr>
          <w:rFonts w:hint="eastAsia" w:eastAsia="宋体"/>
          <w:lang w:eastAsia="zh-CN"/>
        </w:rPr>
      </w:pPr>
    </w:p>
    <w:p w14:paraId="6FD2C4C0">
      <w:pPr>
        <w:rPr>
          <w:rFonts w:hint="eastAsia" w:eastAsia="宋体"/>
          <w:lang w:eastAsia="zh-CN"/>
        </w:rPr>
      </w:pPr>
    </w:p>
    <w:p w14:paraId="45DEC4DD">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7752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5E6B771E">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7DAFB9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34169B90">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56B3CEAC">
            <w:pPr>
              <w:jc w:val="center"/>
              <w:rPr>
                <w:rFonts w:ascii="Times New Roman" w:hAnsi="Times New Roman"/>
                <w:sz w:val="28"/>
                <w:szCs w:val="28"/>
              </w:rPr>
            </w:pPr>
            <w:r>
              <w:rPr>
                <w:rFonts w:hint="eastAsia" w:ascii="Times New Roman" w:hAnsi="Times New Roman" w:eastAsia="仿宋_GB2312"/>
                <w:sz w:val="28"/>
                <w:szCs w:val="28"/>
              </w:rPr>
              <w:t>自驾游乡村露营地规划指南</w:t>
            </w:r>
          </w:p>
        </w:tc>
      </w:tr>
      <w:tr w14:paraId="451E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26B0FA0B">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37</w:t>
            </w:r>
          </w:p>
        </w:tc>
        <w:tc>
          <w:tcPr>
            <w:tcW w:w="1951" w:type="dxa"/>
            <w:vMerge w:val="restart"/>
            <w:noWrap w:val="0"/>
            <w:vAlign w:val="center"/>
          </w:tcPr>
          <w:p w14:paraId="2D66F5F1">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ZJ2026062</w:t>
            </w:r>
          </w:p>
        </w:tc>
        <w:tc>
          <w:tcPr>
            <w:tcW w:w="2607" w:type="dxa"/>
            <w:noWrap w:val="0"/>
            <w:vAlign w:val="center"/>
          </w:tcPr>
          <w:p w14:paraId="49457235">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0F450360">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5E8B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46769794">
            <w:pPr>
              <w:jc w:val="center"/>
              <w:rPr>
                <w:rFonts w:ascii="Times New Roman" w:hAnsi="Times New Roman"/>
                <w:sz w:val="28"/>
                <w:szCs w:val="28"/>
              </w:rPr>
            </w:pPr>
          </w:p>
        </w:tc>
        <w:tc>
          <w:tcPr>
            <w:tcW w:w="1951" w:type="dxa"/>
            <w:vMerge w:val="continue"/>
            <w:noWrap w:val="0"/>
            <w:vAlign w:val="center"/>
          </w:tcPr>
          <w:p w14:paraId="01E709C2">
            <w:pPr>
              <w:jc w:val="center"/>
              <w:rPr>
                <w:rFonts w:ascii="Times New Roman" w:hAnsi="Times New Roman"/>
                <w:sz w:val="28"/>
                <w:szCs w:val="28"/>
              </w:rPr>
            </w:pPr>
          </w:p>
        </w:tc>
        <w:tc>
          <w:tcPr>
            <w:tcW w:w="2607" w:type="dxa"/>
            <w:noWrap w:val="0"/>
            <w:vAlign w:val="center"/>
          </w:tcPr>
          <w:p w14:paraId="25D86563">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6DC1CD4">
            <w:pPr>
              <w:jc w:val="center"/>
              <w:rPr>
                <w:rFonts w:hint="eastAsia" w:ascii="Times New Roman" w:hAnsi="Times New Roman" w:eastAsia="仿宋_GB2312"/>
                <w:sz w:val="28"/>
                <w:szCs w:val="28"/>
                <w:lang w:eastAsia="zh-CN"/>
              </w:rPr>
            </w:pPr>
            <w:r>
              <w:rPr>
                <w:rFonts w:hint="eastAsia" w:ascii="Times New Roman" w:hAnsi="Times New Roman" w:eastAsia="仿宋_GB2312"/>
                <w:sz w:val="28"/>
                <w:szCs w:val="28"/>
                <w:lang w:eastAsia="zh-CN"/>
              </w:rPr>
              <w:t>山西省文化和旅游厅</w:t>
            </w:r>
          </w:p>
        </w:tc>
      </w:tr>
      <w:tr w14:paraId="6241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0" w:hRule="atLeast"/>
        </w:trPr>
        <w:tc>
          <w:tcPr>
            <w:tcW w:w="894" w:type="dxa"/>
            <w:vMerge w:val="continue"/>
            <w:noWrap w:val="0"/>
            <w:vAlign w:val="center"/>
          </w:tcPr>
          <w:p w14:paraId="0F889D46">
            <w:pPr>
              <w:jc w:val="center"/>
              <w:rPr>
                <w:rFonts w:ascii="Times New Roman" w:hAnsi="Times New Roman"/>
                <w:sz w:val="28"/>
                <w:szCs w:val="28"/>
              </w:rPr>
            </w:pPr>
          </w:p>
        </w:tc>
        <w:tc>
          <w:tcPr>
            <w:tcW w:w="1951" w:type="dxa"/>
            <w:vMerge w:val="continue"/>
            <w:noWrap w:val="0"/>
            <w:vAlign w:val="center"/>
          </w:tcPr>
          <w:p w14:paraId="3211894B">
            <w:pPr>
              <w:jc w:val="center"/>
              <w:rPr>
                <w:rFonts w:ascii="Times New Roman" w:hAnsi="Times New Roman"/>
                <w:sz w:val="28"/>
                <w:szCs w:val="28"/>
              </w:rPr>
            </w:pPr>
          </w:p>
        </w:tc>
        <w:tc>
          <w:tcPr>
            <w:tcW w:w="2607" w:type="dxa"/>
            <w:noWrap w:val="0"/>
            <w:vAlign w:val="center"/>
          </w:tcPr>
          <w:p w14:paraId="3633AB45">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5144021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本标准应聚焦于自驾游乡村露营地各类功能设施，对停车场、卫生间以及其他功能区的规划提出科学合理的建议，为自驾游乡村露营地建设提供切实有效的参考。</w:t>
            </w:r>
          </w:p>
        </w:tc>
      </w:tr>
      <w:tr w14:paraId="4840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8" w:hRule="atLeast"/>
        </w:trPr>
        <w:tc>
          <w:tcPr>
            <w:tcW w:w="894" w:type="dxa"/>
            <w:vMerge w:val="continue"/>
            <w:noWrap w:val="0"/>
            <w:vAlign w:val="center"/>
          </w:tcPr>
          <w:p w14:paraId="5CD6243D">
            <w:pPr>
              <w:jc w:val="center"/>
              <w:rPr>
                <w:rFonts w:ascii="Times New Roman" w:hAnsi="Times New Roman"/>
                <w:sz w:val="28"/>
                <w:szCs w:val="28"/>
              </w:rPr>
            </w:pPr>
          </w:p>
        </w:tc>
        <w:tc>
          <w:tcPr>
            <w:tcW w:w="1951" w:type="dxa"/>
            <w:vMerge w:val="continue"/>
            <w:noWrap w:val="0"/>
            <w:vAlign w:val="center"/>
          </w:tcPr>
          <w:p w14:paraId="3782A856">
            <w:pPr>
              <w:jc w:val="center"/>
              <w:rPr>
                <w:rFonts w:ascii="Times New Roman" w:hAnsi="Times New Roman"/>
                <w:sz w:val="28"/>
                <w:szCs w:val="28"/>
              </w:rPr>
            </w:pPr>
          </w:p>
        </w:tc>
        <w:tc>
          <w:tcPr>
            <w:tcW w:w="2607" w:type="dxa"/>
            <w:noWrap w:val="0"/>
            <w:vAlign w:val="center"/>
          </w:tcPr>
          <w:p w14:paraId="5C9AB155">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146421C5">
            <w:pPr>
              <w:spacing w:line="0" w:lineRule="atLeas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第一起草人</w:t>
            </w:r>
            <w:r>
              <w:rPr>
                <w:rFonts w:hint="eastAsia" w:ascii="仿宋_GB2312" w:hAnsi="仿宋_GB2312" w:eastAsia="仿宋_GB2312" w:cs="仿宋_GB2312"/>
                <w:sz w:val="24"/>
                <w:szCs w:val="24"/>
                <w:lang w:eastAsia="zh-CN"/>
              </w:rPr>
              <w:t>应具备丰富的文旅项目运营经验，熟悉自驾游露营地业态。</w:t>
            </w:r>
          </w:p>
        </w:tc>
      </w:tr>
    </w:tbl>
    <w:p w14:paraId="4E4B6983">
      <w:pPr>
        <w:jc w:val="center"/>
        <w:rPr>
          <w:rFonts w:hint="eastAsia" w:ascii="Times New Roman" w:hAnsi="Times New Roman" w:eastAsia="方正小标宋简体" w:cs="Times New Roman"/>
          <w:sz w:val="44"/>
          <w:szCs w:val="44"/>
          <w:lang w:val="en-US" w:eastAsia="zh-CN"/>
        </w:rPr>
      </w:pPr>
    </w:p>
    <w:p w14:paraId="0B10E443">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3B7B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27B67E47">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3379D02E">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5CFEB118">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272D54AD">
            <w:pPr>
              <w:jc w:val="center"/>
              <w:rPr>
                <w:rFonts w:ascii="Times New Roman" w:hAnsi="Times New Roman"/>
                <w:sz w:val="28"/>
                <w:szCs w:val="28"/>
              </w:rPr>
            </w:pPr>
            <w:r>
              <w:rPr>
                <w:rFonts w:hint="eastAsia" w:ascii="Times New Roman" w:hAnsi="Times New Roman" w:eastAsia="仿宋_GB2312"/>
                <w:sz w:val="28"/>
                <w:szCs w:val="28"/>
              </w:rPr>
              <w:t>三晋研学旅游艺术呈现指南</w:t>
            </w:r>
          </w:p>
        </w:tc>
      </w:tr>
      <w:tr w14:paraId="45C4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3DBC927E">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38</w:t>
            </w:r>
          </w:p>
        </w:tc>
        <w:tc>
          <w:tcPr>
            <w:tcW w:w="1951" w:type="dxa"/>
            <w:vMerge w:val="restart"/>
            <w:noWrap w:val="0"/>
            <w:vAlign w:val="center"/>
          </w:tcPr>
          <w:p w14:paraId="5D1567FF">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ZJ2026063</w:t>
            </w:r>
          </w:p>
        </w:tc>
        <w:tc>
          <w:tcPr>
            <w:tcW w:w="2607" w:type="dxa"/>
            <w:noWrap w:val="0"/>
            <w:vAlign w:val="center"/>
          </w:tcPr>
          <w:p w14:paraId="1A3A07BF">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28AEFEEF">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7CE9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75A6C7D9">
            <w:pPr>
              <w:jc w:val="center"/>
              <w:rPr>
                <w:rFonts w:ascii="Times New Roman" w:hAnsi="Times New Roman"/>
                <w:sz w:val="28"/>
                <w:szCs w:val="28"/>
              </w:rPr>
            </w:pPr>
          </w:p>
        </w:tc>
        <w:tc>
          <w:tcPr>
            <w:tcW w:w="1951" w:type="dxa"/>
            <w:vMerge w:val="continue"/>
            <w:noWrap w:val="0"/>
            <w:vAlign w:val="center"/>
          </w:tcPr>
          <w:p w14:paraId="54DF8CFD">
            <w:pPr>
              <w:jc w:val="center"/>
              <w:rPr>
                <w:rFonts w:ascii="Times New Roman" w:hAnsi="Times New Roman"/>
                <w:sz w:val="28"/>
                <w:szCs w:val="28"/>
              </w:rPr>
            </w:pPr>
          </w:p>
        </w:tc>
        <w:tc>
          <w:tcPr>
            <w:tcW w:w="2607" w:type="dxa"/>
            <w:noWrap w:val="0"/>
            <w:vAlign w:val="center"/>
          </w:tcPr>
          <w:p w14:paraId="42106C06">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54EC7740">
            <w:pPr>
              <w:jc w:val="center"/>
              <w:rPr>
                <w:rFonts w:ascii="Times New Roman" w:hAnsi="Times New Roman" w:eastAsia="仿宋_GB2312"/>
                <w:sz w:val="28"/>
                <w:szCs w:val="28"/>
              </w:rPr>
            </w:pPr>
            <w:r>
              <w:rPr>
                <w:rFonts w:hint="eastAsia" w:ascii="Times New Roman" w:hAnsi="Times New Roman" w:eastAsia="仿宋_GB2312"/>
                <w:sz w:val="28"/>
                <w:szCs w:val="28"/>
                <w:lang w:eastAsia="zh-CN"/>
              </w:rPr>
              <w:t>山西省文化和旅游厅</w:t>
            </w:r>
          </w:p>
        </w:tc>
      </w:tr>
      <w:tr w14:paraId="3AAC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65" w:hRule="atLeast"/>
        </w:trPr>
        <w:tc>
          <w:tcPr>
            <w:tcW w:w="894" w:type="dxa"/>
            <w:vMerge w:val="continue"/>
            <w:noWrap w:val="0"/>
            <w:vAlign w:val="center"/>
          </w:tcPr>
          <w:p w14:paraId="1193F75A">
            <w:pPr>
              <w:jc w:val="center"/>
              <w:rPr>
                <w:rFonts w:ascii="Times New Roman" w:hAnsi="Times New Roman"/>
                <w:sz w:val="28"/>
                <w:szCs w:val="28"/>
              </w:rPr>
            </w:pPr>
          </w:p>
        </w:tc>
        <w:tc>
          <w:tcPr>
            <w:tcW w:w="1951" w:type="dxa"/>
            <w:vMerge w:val="continue"/>
            <w:noWrap w:val="0"/>
            <w:vAlign w:val="center"/>
          </w:tcPr>
          <w:p w14:paraId="4B0E6482">
            <w:pPr>
              <w:jc w:val="center"/>
              <w:rPr>
                <w:rFonts w:ascii="Times New Roman" w:hAnsi="Times New Roman"/>
                <w:sz w:val="28"/>
                <w:szCs w:val="28"/>
              </w:rPr>
            </w:pPr>
          </w:p>
        </w:tc>
        <w:tc>
          <w:tcPr>
            <w:tcW w:w="2607" w:type="dxa"/>
            <w:noWrap w:val="0"/>
            <w:vAlign w:val="center"/>
          </w:tcPr>
          <w:p w14:paraId="0965D45F">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0C49BAB9">
            <w:pPr>
              <w:pStyle w:val="18"/>
              <w:keepNext w:val="0"/>
              <w:keepLines w:val="0"/>
              <w:pageBreakBefore w:val="0"/>
              <w:widowControl w:val="0"/>
              <w:kinsoku/>
              <w:wordWrap/>
              <w:overflowPunct/>
              <w:topLinePunct w:val="0"/>
              <w:autoSpaceDE/>
              <w:autoSpaceDN/>
              <w:bidi w:val="0"/>
              <w:adjustRightInd/>
              <w:snapToGrid/>
              <w:spacing w:before="2" w:line="0" w:lineRule="atLeast"/>
              <w:ind w:left="0" w:leftChars="0" w:right="85" w:rightChars="0" w:firstLine="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2"/>
                <w:sz w:val="24"/>
                <w:szCs w:val="24"/>
                <w:lang w:val="en-US" w:eastAsia="zh-CN" w:bidi="ar-SA"/>
              </w:rPr>
              <w:t>本标准主要内容应以山西文化传承与体验向艺术创作转变为核心，基于山西省丰富的文化与艺术资源，在课程开发、资源利用、艺术创作、深度学习等方面提出建议，适配各种群体的研学需求，为文旅艺术研学活动全过程质量管理提供指引。</w:t>
            </w:r>
          </w:p>
        </w:tc>
      </w:tr>
      <w:tr w14:paraId="5F58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74" w:hRule="atLeast"/>
        </w:trPr>
        <w:tc>
          <w:tcPr>
            <w:tcW w:w="894" w:type="dxa"/>
            <w:vMerge w:val="continue"/>
            <w:noWrap w:val="0"/>
            <w:vAlign w:val="center"/>
          </w:tcPr>
          <w:p w14:paraId="29C18473">
            <w:pPr>
              <w:jc w:val="center"/>
              <w:rPr>
                <w:rFonts w:ascii="Times New Roman" w:hAnsi="Times New Roman"/>
                <w:sz w:val="28"/>
                <w:szCs w:val="28"/>
              </w:rPr>
            </w:pPr>
          </w:p>
        </w:tc>
        <w:tc>
          <w:tcPr>
            <w:tcW w:w="1951" w:type="dxa"/>
            <w:vMerge w:val="continue"/>
            <w:noWrap w:val="0"/>
            <w:vAlign w:val="center"/>
          </w:tcPr>
          <w:p w14:paraId="2754607B">
            <w:pPr>
              <w:jc w:val="center"/>
              <w:rPr>
                <w:rFonts w:ascii="Times New Roman" w:hAnsi="Times New Roman"/>
                <w:sz w:val="28"/>
                <w:szCs w:val="28"/>
              </w:rPr>
            </w:pPr>
          </w:p>
        </w:tc>
        <w:tc>
          <w:tcPr>
            <w:tcW w:w="2607" w:type="dxa"/>
            <w:noWrap w:val="0"/>
            <w:vAlign w:val="center"/>
          </w:tcPr>
          <w:p w14:paraId="088745E2">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570461C7">
            <w:pPr>
              <w:pStyle w:val="18"/>
              <w:keepNext w:val="0"/>
              <w:keepLines w:val="0"/>
              <w:pageBreakBefore w:val="0"/>
              <w:widowControl w:val="0"/>
              <w:kinsoku/>
              <w:wordWrap/>
              <w:overflowPunct/>
              <w:topLinePunct w:val="0"/>
              <w:autoSpaceDE/>
              <w:autoSpaceDN/>
              <w:bidi w:val="0"/>
              <w:adjustRightInd/>
              <w:snapToGrid/>
              <w:spacing w:before="2" w:line="0" w:lineRule="atLeast"/>
              <w:ind w:left="0" w:leftChars="0" w:right="85" w:rightChars="0" w:firstLine="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2"/>
                <w:sz w:val="24"/>
                <w:szCs w:val="24"/>
                <w:lang w:val="en-US" w:eastAsia="zh-CN" w:bidi="ar-SA"/>
              </w:rPr>
              <w:t>起草团队应涵盖文化艺术教育、文旅管理、标准制定等核心专业领域。主要起草人中应至少有1人熟悉山西文化与文旅研学行业现状与发展需求，在文化科研和社会美育科研领域有3年以上工作经验。</w:t>
            </w:r>
          </w:p>
        </w:tc>
      </w:tr>
    </w:tbl>
    <w:p w14:paraId="384A9878">
      <w:pPr>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公开征集地方标准项目清单（2026年第2批）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51"/>
        <w:gridCol w:w="2607"/>
        <w:gridCol w:w="8627"/>
      </w:tblGrid>
      <w:tr w14:paraId="1911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894" w:type="dxa"/>
            <w:noWrap w:val="0"/>
            <w:vAlign w:val="center"/>
          </w:tcPr>
          <w:p w14:paraId="031ADB4F">
            <w:pPr>
              <w:jc w:val="center"/>
              <w:rPr>
                <w:rFonts w:ascii="Times New Roman" w:hAnsi="Times New Roman" w:eastAsia="黑体"/>
                <w:sz w:val="28"/>
                <w:szCs w:val="28"/>
              </w:rPr>
            </w:pPr>
            <w:r>
              <w:rPr>
                <w:rFonts w:ascii="Times New Roman" w:hAnsi="Times New Roman" w:eastAsia="黑体"/>
                <w:sz w:val="28"/>
                <w:szCs w:val="28"/>
              </w:rPr>
              <w:t>序号</w:t>
            </w:r>
          </w:p>
        </w:tc>
        <w:tc>
          <w:tcPr>
            <w:tcW w:w="1951" w:type="dxa"/>
            <w:noWrap w:val="0"/>
            <w:vAlign w:val="center"/>
          </w:tcPr>
          <w:p w14:paraId="268BAA87">
            <w:pPr>
              <w:jc w:val="center"/>
              <w:rPr>
                <w:rFonts w:ascii="Times New Roman" w:hAnsi="Times New Roman" w:eastAsia="黑体"/>
                <w:sz w:val="28"/>
                <w:szCs w:val="28"/>
              </w:rPr>
            </w:pPr>
            <w:r>
              <w:rPr>
                <w:rFonts w:hint="eastAsia" w:ascii="Times New Roman" w:hAnsi="Times New Roman" w:eastAsia="黑体"/>
                <w:sz w:val="28"/>
                <w:szCs w:val="28"/>
                <w:lang w:eastAsia="zh-CN"/>
              </w:rPr>
              <w:t>征集</w:t>
            </w:r>
            <w:r>
              <w:rPr>
                <w:rFonts w:ascii="Times New Roman" w:hAnsi="Times New Roman" w:eastAsia="黑体"/>
                <w:sz w:val="28"/>
                <w:szCs w:val="28"/>
              </w:rPr>
              <w:t>项目编号</w:t>
            </w:r>
          </w:p>
        </w:tc>
        <w:tc>
          <w:tcPr>
            <w:tcW w:w="2607" w:type="dxa"/>
            <w:noWrap w:val="0"/>
            <w:vAlign w:val="center"/>
          </w:tcPr>
          <w:p w14:paraId="0B68E310">
            <w:pPr>
              <w:spacing w:line="560" w:lineRule="exact"/>
              <w:jc w:val="center"/>
              <w:rPr>
                <w:rFonts w:ascii="Times New Roman" w:hAnsi="Times New Roman" w:eastAsia="黑体"/>
                <w:sz w:val="28"/>
                <w:szCs w:val="28"/>
              </w:rPr>
            </w:pPr>
            <w:r>
              <w:rPr>
                <w:rFonts w:ascii="Times New Roman" w:hAnsi="Times New Roman" w:eastAsia="黑体"/>
                <w:color w:val="000000"/>
                <w:sz w:val="28"/>
                <w:szCs w:val="28"/>
              </w:rPr>
              <w:t>项目名称</w:t>
            </w:r>
          </w:p>
        </w:tc>
        <w:tc>
          <w:tcPr>
            <w:tcW w:w="8627" w:type="dxa"/>
            <w:noWrap w:val="0"/>
            <w:vAlign w:val="center"/>
          </w:tcPr>
          <w:p w14:paraId="3338FC30">
            <w:pPr>
              <w:jc w:val="center"/>
              <w:rPr>
                <w:rFonts w:ascii="Times New Roman" w:hAnsi="Times New Roman"/>
                <w:sz w:val="28"/>
                <w:szCs w:val="28"/>
              </w:rPr>
            </w:pPr>
            <w:r>
              <w:rPr>
                <w:rFonts w:hint="eastAsia" w:ascii="Times New Roman" w:hAnsi="Times New Roman" w:eastAsia="仿宋_GB2312"/>
                <w:sz w:val="28"/>
                <w:szCs w:val="28"/>
              </w:rPr>
              <w:t>武庄挽弓传统技艺技术要求</w:t>
            </w:r>
          </w:p>
        </w:tc>
      </w:tr>
      <w:tr w14:paraId="2F58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3" w:hRule="atLeast"/>
        </w:trPr>
        <w:tc>
          <w:tcPr>
            <w:tcW w:w="894" w:type="dxa"/>
            <w:vMerge w:val="restart"/>
            <w:noWrap w:val="0"/>
            <w:vAlign w:val="center"/>
          </w:tcPr>
          <w:p w14:paraId="3AC723E0">
            <w:pPr>
              <w:keepNext w:val="0"/>
              <w:keepLines w:val="0"/>
              <w:widowControl/>
              <w:suppressLineNumbers w:val="0"/>
              <w:jc w:val="center"/>
              <w:textAlignment w:val="center"/>
              <w:rPr>
                <w:rFonts w:hint="default" w:ascii="Times New Roman" w:hAnsi="Times New Roman" w:eastAsia="宋体"/>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39</w:t>
            </w:r>
          </w:p>
        </w:tc>
        <w:tc>
          <w:tcPr>
            <w:tcW w:w="1951" w:type="dxa"/>
            <w:vMerge w:val="restart"/>
            <w:noWrap w:val="0"/>
            <w:vAlign w:val="center"/>
          </w:tcPr>
          <w:p w14:paraId="25FE9788">
            <w:pPr>
              <w:keepNext w:val="0"/>
              <w:keepLines w:val="0"/>
              <w:widowControl/>
              <w:suppressLineNumbers w:val="0"/>
              <w:jc w:val="center"/>
              <w:textAlignment w:val="center"/>
              <w:rPr>
                <w:rFonts w:hint="default" w:ascii="Times New Roman" w:hAnsi="Times New Roman" w:eastAsia="仿宋_GB2312"/>
                <w:sz w:val="28"/>
                <w:szCs w:val="28"/>
                <w:lang w:val="en-US" w:eastAsia="zh-CN"/>
              </w:rPr>
            </w:pPr>
            <w:r>
              <w:rPr>
                <w:rFonts w:hint="default" w:ascii="Times New Roman" w:hAnsi="Times New Roman" w:eastAsia="宋体" w:cs="Times New Roman"/>
                <w:i w:val="0"/>
                <w:iCs w:val="0"/>
                <w:color w:val="000000"/>
                <w:kern w:val="0"/>
                <w:sz w:val="28"/>
                <w:szCs w:val="28"/>
                <w:u w:val="none"/>
                <w:lang w:val="en-US" w:eastAsia="zh-CN" w:bidi="ar"/>
              </w:rPr>
              <w:t>ZJ2026064</w:t>
            </w:r>
          </w:p>
        </w:tc>
        <w:tc>
          <w:tcPr>
            <w:tcW w:w="2607" w:type="dxa"/>
            <w:noWrap w:val="0"/>
            <w:vAlign w:val="center"/>
          </w:tcPr>
          <w:p w14:paraId="3E225C33">
            <w:pPr>
              <w:jc w:val="center"/>
              <w:rPr>
                <w:rFonts w:ascii="Times New Roman" w:hAnsi="Times New Roman"/>
                <w:sz w:val="28"/>
                <w:szCs w:val="28"/>
              </w:rPr>
            </w:pPr>
            <w:r>
              <w:rPr>
                <w:rFonts w:ascii="Times New Roman" w:hAnsi="Times New Roman" w:eastAsia="黑体"/>
                <w:sz w:val="28"/>
                <w:szCs w:val="28"/>
              </w:rPr>
              <w:t>标准性质</w:t>
            </w:r>
          </w:p>
        </w:tc>
        <w:tc>
          <w:tcPr>
            <w:tcW w:w="8627" w:type="dxa"/>
            <w:noWrap w:val="0"/>
            <w:vAlign w:val="center"/>
          </w:tcPr>
          <w:p w14:paraId="1AA55EB4">
            <w:pPr>
              <w:spacing w:line="0" w:lineRule="atLeast"/>
              <w:jc w:val="center"/>
              <w:rPr>
                <w:rFonts w:ascii="Times New Roman" w:hAnsi="Times New Roman" w:eastAsia="仿宋_GB2312"/>
                <w:color w:val="FF0000"/>
                <w:sz w:val="28"/>
                <w:szCs w:val="28"/>
              </w:rPr>
            </w:pPr>
            <w:r>
              <w:rPr>
                <w:rFonts w:hint="eastAsia" w:ascii="Times New Roman" w:hAnsi="Times New Roman" w:eastAsia="仿宋_GB2312"/>
                <w:sz w:val="28"/>
                <w:szCs w:val="28"/>
              </w:rPr>
              <w:t>推荐性地方标准</w:t>
            </w:r>
          </w:p>
        </w:tc>
      </w:tr>
      <w:tr w14:paraId="2AFB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6" w:hRule="atLeast"/>
        </w:trPr>
        <w:tc>
          <w:tcPr>
            <w:tcW w:w="894" w:type="dxa"/>
            <w:vMerge w:val="continue"/>
            <w:noWrap w:val="0"/>
            <w:vAlign w:val="center"/>
          </w:tcPr>
          <w:p w14:paraId="5F7C6CA6">
            <w:pPr>
              <w:jc w:val="center"/>
              <w:rPr>
                <w:rFonts w:ascii="Times New Roman" w:hAnsi="Times New Roman"/>
                <w:sz w:val="28"/>
                <w:szCs w:val="28"/>
              </w:rPr>
            </w:pPr>
          </w:p>
        </w:tc>
        <w:tc>
          <w:tcPr>
            <w:tcW w:w="1951" w:type="dxa"/>
            <w:vMerge w:val="continue"/>
            <w:noWrap w:val="0"/>
            <w:vAlign w:val="center"/>
          </w:tcPr>
          <w:p w14:paraId="2012DC29">
            <w:pPr>
              <w:jc w:val="center"/>
              <w:rPr>
                <w:rFonts w:ascii="Times New Roman" w:hAnsi="Times New Roman"/>
                <w:sz w:val="28"/>
                <w:szCs w:val="28"/>
              </w:rPr>
            </w:pPr>
          </w:p>
        </w:tc>
        <w:tc>
          <w:tcPr>
            <w:tcW w:w="2607" w:type="dxa"/>
            <w:noWrap w:val="0"/>
            <w:vAlign w:val="center"/>
          </w:tcPr>
          <w:p w14:paraId="2651F7FD">
            <w:pPr>
              <w:spacing w:line="0" w:lineRule="atLeast"/>
              <w:jc w:val="center"/>
              <w:rPr>
                <w:rFonts w:ascii="Times New Roman" w:hAnsi="Times New Roman" w:eastAsia="黑体"/>
                <w:sz w:val="28"/>
                <w:szCs w:val="28"/>
              </w:rPr>
            </w:pPr>
            <w:r>
              <w:rPr>
                <w:rFonts w:hint="eastAsia" w:ascii="Times New Roman" w:hAnsi="Times New Roman" w:eastAsia="黑体"/>
                <w:color w:val="000000"/>
                <w:sz w:val="28"/>
                <w:szCs w:val="28"/>
              </w:rPr>
              <w:t>行政主管部门</w:t>
            </w:r>
          </w:p>
        </w:tc>
        <w:tc>
          <w:tcPr>
            <w:tcW w:w="8627" w:type="dxa"/>
            <w:noWrap w:val="0"/>
            <w:vAlign w:val="center"/>
          </w:tcPr>
          <w:p w14:paraId="0F9A7E60">
            <w:pPr>
              <w:jc w:val="center"/>
              <w:rPr>
                <w:rFonts w:hint="eastAsia" w:ascii="Times New Roman" w:hAnsi="Times New Roman" w:eastAsia="仿宋_GB2312"/>
                <w:sz w:val="28"/>
                <w:szCs w:val="28"/>
                <w:lang w:eastAsia="zh-CN"/>
              </w:rPr>
            </w:pPr>
            <w:r>
              <w:rPr>
                <w:rFonts w:hint="eastAsia" w:ascii="Times New Roman" w:hAnsi="Times New Roman" w:eastAsia="仿宋_GB2312"/>
                <w:sz w:val="28"/>
                <w:szCs w:val="28"/>
                <w:lang w:eastAsia="zh-CN"/>
              </w:rPr>
              <w:t>山西省体育局</w:t>
            </w:r>
          </w:p>
        </w:tc>
      </w:tr>
      <w:tr w14:paraId="0F21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2" w:hRule="atLeast"/>
        </w:trPr>
        <w:tc>
          <w:tcPr>
            <w:tcW w:w="894" w:type="dxa"/>
            <w:vMerge w:val="continue"/>
            <w:noWrap w:val="0"/>
            <w:vAlign w:val="center"/>
          </w:tcPr>
          <w:p w14:paraId="1BB2664D">
            <w:pPr>
              <w:jc w:val="center"/>
              <w:rPr>
                <w:rFonts w:ascii="Times New Roman" w:hAnsi="Times New Roman"/>
                <w:sz w:val="28"/>
                <w:szCs w:val="28"/>
              </w:rPr>
            </w:pPr>
          </w:p>
        </w:tc>
        <w:tc>
          <w:tcPr>
            <w:tcW w:w="1951" w:type="dxa"/>
            <w:vMerge w:val="continue"/>
            <w:noWrap w:val="0"/>
            <w:vAlign w:val="center"/>
          </w:tcPr>
          <w:p w14:paraId="65200374">
            <w:pPr>
              <w:jc w:val="center"/>
              <w:rPr>
                <w:rFonts w:ascii="Times New Roman" w:hAnsi="Times New Roman"/>
                <w:sz w:val="28"/>
                <w:szCs w:val="28"/>
              </w:rPr>
            </w:pPr>
          </w:p>
        </w:tc>
        <w:tc>
          <w:tcPr>
            <w:tcW w:w="2607" w:type="dxa"/>
            <w:noWrap w:val="0"/>
            <w:vAlign w:val="center"/>
          </w:tcPr>
          <w:p w14:paraId="3BD198D6">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主要技术要求</w:t>
            </w:r>
          </w:p>
        </w:tc>
        <w:tc>
          <w:tcPr>
            <w:tcW w:w="8627" w:type="dxa"/>
            <w:noWrap w:val="0"/>
            <w:vAlign w:val="center"/>
          </w:tcPr>
          <w:p w14:paraId="2415D5D1">
            <w:pPr>
              <w:keepNext w:val="0"/>
              <w:keepLines w:val="0"/>
              <w:pageBreakBefore w:val="0"/>
              <w:widowControl w:val="0"/>
              <w:kinsoku/>
              <w:wordWrap/>
              <w:overflowPunct/>
              <w:topLinePunct w:val="0"/>
              <w:autoSpaceDE/>
              <w:autoSpaceDN/>
              <w:bidi w:val="0"/>
              <w:adjustRightInd/>
              <w:snapToGrid/>
              <w:spacing w:line="0" w:lineRule="atLeast"/>
              <w:jc w:val="left"/>
              <w:textAlignment w:val="auto"/>
            </w:pPr>
            <w:r>
              <w:rPr>
                <w:rFonts w:hint="eastAsia" w:ascii="Times New Roman" w:hAnsi="Times New Roman" w:eastAsia="仿宋_GB2312"/>
                <w:sz w:val="24"/>
                <w:szCs w:val="24"/>
                <w:lang w:eastAsia="zh-CN"/>
              </w:rPr>
              <w:t>本标准应对“武庄挽弓”“静息”等术语作出准确的定义；对“武庄挽弓”特点与技术要领（身法、手法、步法、眼神）作出具体要求；对基本功法及动作序列的姿势、流程进行规范性描述；对礼射礼仪要求进行规范。</w:t>
            </w:r>
          </w:p>
        </w:tc>
      </w:tr>
      <w:tr w14:paraId="54E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5" w:hRule="atLeast"/>
        </w:trPr>
        <w:tc>
          <w:tcPr>
            <w:tcW w:w="894" w:type="dxa"/>
            <w:vMerge w:val="continue"/>
            <w:noWrap w:val="0"/>
            <w:vAlign w:val="center"/>
          </w:tcPr>
          <w:p w14:paraId="6E4B571E">
            <w:pPr>
              <w:jc w:val="center"/>
              <w:rPr>
                <w:rFonts w:ascii="Times New Roman" w:hAnsi="Times New Roman"/>
                <w:sz w:val="28"/>
                <w:szCs w:val="28"/>
              </w:rPr>
            </w:pPr>
          </w:p>
        </w:tc>
        <w:tc>
          <w:tcPr>
            <w:tcW w:w="1951" w:type="dxa"/>
            <w:vMerge w:val="continue"/>
            <w:noWrap w:val="0"/>
            <w:vAlign w:val="center"/>
          </w:tcPr>
          <w:p w14:paraId="6F387BA5">
            <w:pPr>
              <w:jc w:val="center"/>
              <w:rPr>
                <w:rFonts w:ascii="Times New Roman" w:hAnsi="Times New Roman"/>
                <w:sz w:val="28"/>
                <w:szCs w:val="28"/>
              </w:rPr>
            </w:pPr>
          </w:p>
        </w:tc>
        <w:tc>
          <w:tcPr>
            <w:tcW w:w="2607" w:type="dxa"/>
            <w:noWrap w:val="0"/>
            <w:vAlign w:val="center"/>
          </w:tcPr>
          <w:p w14:paraId="21CC3CE4">
            <w:pPr>
              <w:spacing w:line="0" w:lineRule="atLeast"/>
              <w:jc w:val="center"/>
              <w:rPr>
                <w:rFonts w:hint="eastAsia" w:ascii="Times New Roman" w:hAnsi="Times New Roman" w:eastAsia="黑体"/>
                <w:sz w:val="28"/>
                <w:szCs w:val="28"/>
                <w:lang w:eastAsia="zh-CN"/>
              </w:rPr>
            </w:pPr>
            <w:r>
              <w:rPr>
                <w:rFonts w:hint="eastAsia" w:ascii="Times New Roman" w:hAnsi="Times New Roman" w:eastAsia="黑体"/>
                <w:color w:val="000000"/>
                <w:sz w:val="28"/>
                <w:szCs w:val="28"/>
                <w:lang w:eastAsia="zh-CN"/>
              </w:rPr>
              <w:t>起草团队专业、人员特别要求</w:t>
            </w:r>
          </w:p>
        </w:tc>
        <w:tc>
          <w:tcPr>
            <w:tcW w:w="8627" w:type="dxa"/>
            <w:noWrap w:val="0"/>
            <w:vAlign w:val="center"/>
          </w:tcPr>
          <w:p w14:paraId="5F0E0BCA">
            <w:pPr>
              <w:keepNext w:val="0"/>
              <w:keepLines w:val="0"/>
              <w:pageBreakBefore w:val="0"/>
              <w:widowControl w:val="0"/>
              <w:kinsoku/>
              <w:wordWrap/>
              <w:overflowPunct/>
              <w:topLinePunct w:val="0"/>
              <w:autoSpaceDE/>
              <w:autoSpaceDN/>
              <w:bidi w:val="0"/>
              <w:adjustRightInd/>
              <w:snapToGrid/>
              <w:spacing w:line="0" w:lineRule="atLeast"/>
              <w:textAlignment w:val="auto"/>
            </w:pPr>
            <w:r>
              <w:rPr>
                <w:rFonts w:hint="eastAsia" w:ascii="仿宋_GB2312" w:hAnsi="仿宋_GB2312" w:eastAsia="仿宋_GB2312" w:cs="仿宋_GB2312"/>
                <w:spacing w:val="-8"/>
                <w:sz w:val="24"/>
                <w:szCs w:val="24"/>
                <w:lang w:eastAsia="zh-CN"/>
              </w:rPr>
              <w:t>起草</w:t>
            </w:r>
            <w:r>
              <w:rPr>
                <w:rFonts w:hint="eastAsia" w:ascii="仿宋_GB2312" w:hAnsi="仿宋_GB2312" w:eastAsia="仿宋_GB2312" w:cs="仿宋_GB2312"/>
                <w:spacing w:val="-8"/>
                <w:sz w:val="24"/>
                <w:szCs w:val="24"/>
              </w:rPr>
              <w:t>团队成员中应包含</w:t>
            </w:r>
            <w:r>
              <w:rPr>
                <w:rFonts w:hint="eastAsia" w:ascii="仿宋_GB2312" w:hAnsi="仿宋_GB2312" w:eastAsia="仿宋_GB2312" w:cs="仿宋_GB2312"/>
                <w:spacing w:val="-8"/>
                <w:sz w:val="24"/>
                <w:szCs w:val="24"/>
                <w:lang w:eastAsia="zh-CN"/>
              </w:rPr>
              <w:t>：</w:t>
            </w:r>
            <w:r>
              <w:rPr>
                <w:rFonts w:hint="eastAsia" w:ascii="仿宋_GB2312" w:hAnsi="仿宋_GB2312" w:eastAsia="仿宋_GB2312" w:cs="仿宋_GB2312"/>
                <w:spacing w:val="-8"/>
                <w:sz w:val="24"/>
                <w:szCs w:val="24"/>
              </w:rPr>
              <w:t>在非物质文化遗产保护、中国传统体育理论与实践领域具有高级</w:t>
            </w:r>
            <w:r>
              <w:rPr>
                <w:rFonts w:hint="eastAsia" w:ascii="仿宋_GB2312" w:hAnsi="仿宋_GB2312" w:eastAsia="仿宋_GB2312" w:cs="仿宋_GB2312"/>
                <w:spacing w:val="-2"/>
                <w:sz w:val="24"/>
                <w:szCs w:val="24"/>
              </w:rPr>
              <w:t>职称</w:t>
            </w:r>
            <w:r>
              <w:rPr>
                <w:rFonts w:hint="eastAsia" w:ascii="仿宋_GB2312" w:hAnsi="仿宋_GB2312" w:eastAsia="仿宋_GB2312" w:cs="仿宋_GB2312"/>
                <w:spacing w:val="-2"/>
                <w:sz w:val="24"/>
                <w:szCs w:val="24"/>
                <w:lang w:val="en-US" w:eastAsia="zh-CN"/>
              </w:rPr>
              <w:t>专业技术人员</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1"/>
                <w:sz w:val="24"/>
                <w:szCs w:val="24"/>
              </w:rPr>
              <w:t>武庄挽弓</w:t>
            </w:r>
            <w:r>
              <w:rPr>
                <w:rFonts w:hint="eastAsia" w:ascii="仿宋_GB2312" w:hAnsi="仿宋_GB2312" w:eastAsia="仿宋_GB2312" w:cs="仿宋_GB2312"/>
                <w:spacing w:val="-2"/>
                <w:sz w:val="24"/>
                <w:szCs w:val="24"/>
              </w:rPr>
              <w:t>丰富教</w:t>
            </w:r>
            <w:r>
              <w:rPr>
                <w:rFonts w:hint="eastAsia" w:ascii="仿宋_GB2312" w:hAnsi="仿宋_GB2312" w:eastAsia="仿宋_GB2312" w:cs="仿宋_GB2312"/>
                <w:spacing w:val="-7"/>
                <w:sz w:val="24"/>
                <w:szCs w:val="24"/>
              </w:rPr>
              <w:t>学实践经验</w:t>
            </w:r>
            <w:r>
              <w:rPr>
                <w:rFonts w:hint="eastAsia" w:ascii="仿宋_GB2312" w:hAnsi="仿宋_GB2312" w:eastAsia="仿宋_GB2312" w:cs="仿宋_GB2312"/>
                <w:spacing w:val="-1"/>
                <w:sz w:val="24"/>
                <w:szCs w:val="24"/>
              </w:rPr>
              <w:t>专任教师</w:t>
            </w:r>
            <w:r>
              <w:rPr>
                <w:rFonts w:hint="eastAsia" w:ascii="仿宋_GB2312" w:hAnsi="仿宋_GB2312" w:eastAsia="仿宋_GB2312" w:cs="仿宋_GB2312"/>
                <w:spacing w:val="-7"/>
                <w:sz w:val="24"/>
                <w:szCs w:val="24"/>
                <w:lang w:eastAsia="zh-CN"/>
              </w:rPr>
              <w:t>；</w:t>
            </w:r>
            <w:r>
              <w:rPr>
                <w:rFonts w:hint="eastAsia" w:ascii="仿宋_GB2312" w:hAnsi="仿宋_GB2312" w:eastAsia="仿宋_GB2312" w:cs="仿宋_GB2312"/>
                <w:spacing w:val="-7"/>
                <w:sz w:val="24"/>
                <w:szCs w:val="24"/>
              </w:rPr>
              <w:t>具有长期从事该项目保护、传承和展演实践的</w:t>
            </w:r>
            <w:r>
              <w:rPr>
                <w:rFonts w:hint="eastAsia" w:ascii="仿宋_GB2312" w:hAnsi="仿宋_GB2312" w:eastAsia="仿宋_GB2312" w:cs="仿宋_GB2312"/>
                <w:spacing w:val="-7"/>
                <w:sz w:val="24"/>
                <w:szCs w:val="24"/>
                <w:lang w:val="en-US" w:eastAsia="zh-CN"/>
              </w:rPr>
              <w:t>从业人员</w:t>
            </w:r>
            <w:r>
              <w:rPr>
                <w:rFonts w:hint="eastAsia" w:ascii="仿宋_GB2312" w:hAnsi="仿宋_GB2312" w:eastAsia="仿宋_GB2312" w:cs="仿宋_GB2312"/>
                <w:spacing w:val="-7"/>
                <w:sz w:val="24"/>
                <w:szCs w:val="24"/>
                <w:lang w:eastAsia="zh-CN"/>
              </w:rPr>
              <w:t>。</w:t>
            </w:r>
            <w:r>
              <w:rPr>
                <w:rFonts w:hint="eastAsia" w:ascii="仿宋_GB2312" w:hAnsi="仿宋_GB2312" w:eastAsia="仿宋_GB2312" w:cs="仿宋_GB2312"/>
                <w:sz w:val="24"/>
                <w:szCs w:val="24"/>
                <w:lang w:val="en-US" w:eastAsia="zh-CN"/>
              </w:rPr>
              <w:t>主要起草</w:t>
            </w:r>
            <w:r>
              <w:rPr>
                <w:rFonts w:hint="eastAsia" w:ascii="仿宋_GB2312" w:hAnsi="仿宋_GB2312" w:eastAsia="仿宋_GB2312" w:cs="仿宋_GB2312"/>
                <w:sz w:val="24"/>
                <w:szCs w:val="24"/>
              </w:rPr>
              <w:t>人应</w:t>
            </w:r>
            <w:r>
              <w:rPr>
                <w:rFonts w:hint="eastAsia" w:ascii="仿宋_GB2312" w:hAnsi="仿宋_GB2312" w:eastAsia="仿宋_GB2312" w:cs="仿宋_GB2312"/>
                <w:spacing w:val="-4"/>
                <w:sz w:val="24"/>
                <w:szCs w:val="24"/>
              </w:rPr>
              <w:t>对中国弓箭文化、传统武术有深入研究，公开</w:t>
            </w:r>
            <w:r>
              <w:rPr>
                <w:rFonts w:hint="eastAsia" w:ascii="仿宋_GB2312" w:hAnsi="仿宋_GB2312" w:eastAsia="仿宋_GB2312" w:cs="仿宋_GB2312"/>
                <w:spacing w:val="-5"/>
                <w:sz w:val="24"/>
                <w:szCs w:val="24"/>
              </w:rPr>
              <w:t>发表过相关学术论文或专著</w:t>
            </w:r>
            <w:r>
              <w:rPr>
                <w:rFonts w:hint="eastAsia" w:ascii="仿宋_GB2312" w:hAnsi="仿宋_GB2312" w:eastAsia="仿宋_GB2312" w:cs="仿宋_GB2312"/>
                <w:spacing w:val="-5"/>
                <w:sz w:val="24"/>
                <w:szCs w:val="24"/>
                <w:lang w:eastAsia="zh-CN"/>
              </w:rPr>
              <w:t>，</w:t>
            </w:r>
            <w:r>
              <w:rPr>
                <w:rFonts w:hint="eastAsia" w:ascii="仿宋_GB2312" w:hAnsi="仿宋_GB2312" w:eastAsia="仿宋_GB2312" w:cs="仿宋_GB2312"/>
                <w:spacing w:val="-5"/>
                <w:sz w:val="24"/>
                <w:szCs w:val="24"/>
              </w:rPr>
              <w:t>参与过</w:t>
            </w:r>
            <w:r>
              <w:rPr>
                <w:rFonts w:hint="eastAsia" w:ascii="仿宋_GB2312" w:hAnsi="仿宋_GB2312" w:eastAsia="仿宋_GB2312" w:cs="仿宋_GB2312"/>
                <w:sz w:val="24"/>
                <w:szCs w:val="24"/>
              </w:rPr>
              <w:t>项目推广或教学实践，熟悉其技术细节、流程和</w:t>
            </w:r>
            <w:r>
              <w:rPr>
                <w:rFonts w:hint="eastAsia" w:ascii="仿宋_GB2312" w:hAnsi="仿宋_GB2312" w:eastAsia="仿宋_GB2312" w:cs="仿宋_GB2312"/>
                <w:spacing w:val="-1"/>
                <w:sz w:val="24"/>
                <w:szCs w:val="24"/>
              </w:rPr>
              <w:t>关键技术点</w:t>
            </w:r>
            <w:r>
              <w:rPr>
                <w:rFonts w:hint="eastAsia" w:ascii="仿宋_GB2312" w:hAnsi="仿宋_GB2312" w:eastAsia="仿宋_GB2312" w:cs="仿宋_GB2312"/>
                <w:spacing w:val="-2"/>
                <w:sz w:val="24"/>
                <w:szCs w:val="24"/>
              </w:rPr>
              <w:t>。</w:t>
            </w:r>
          </w:p>
        </w:tc>
      </w:tr>
    </w:tbl>
    <w:p w14:paraId="6FD5495A">
      <w:pPr>
        <w:keepNext w:val="0"/>
        <w:keepLines w:val="0"/>
        <w:pageBreakBefore w:val="0"/>
        <w:widowControl w:val="0"/>
        <w:kinsoku/>
        <w:wordWrap/>
        <w:overflowPunct/>
        <w:topLinePunct w:val="0"/>
        <w:autoSpaceDE/>
        <w:autoSpaceDN/>
        <w:bidi w:val="0"/>
        <w:adjustRightInd/>
        <w:snapToGrid/>
        <w:spacing w:line="60" w:lineRule="exact"/>
        <w:textAlignment w:val="auto"/>
        <w:rPr>
          <w:rFonts w:hint="eastAsia" w:eastAsia="宋体"/>
          <w:lang w:eastAsia="zh-CN"/>
        </w:rPr>
      </w:pPr>
      <w:bookmarkStart w:id="0" w:name="_GoBack"/>
      <w:bookmarkEnd w:id="0"/>
    </w:p>
    <w:sectPr>
      <w:footerReference r:id="rId3" w:type="default"/>
      <w:pgSz w:w="16838" w:h="11906" w:orient="landscape"/>
      <w:pgMar w:top="1304" w:right="1440" w:bottom="1800" w:left="1440"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Liberation Sans">
    <w:altName w:val="方正公文小标宋"/>
    <w:panose1 w:val="00000000000000000000"/>
    <w:charset w:val="00"/>
    <w:family w:val="swiss"/>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Noto Sans CJK SC Regular">
    <w:altName w:val="思源黑体"/>
    <w:panose1 w:val="020B0500000000000000"/>
    <w:charset w:val="86"/>
    <w:family w:val="auto"/>
    <w:pitch w:val="default"/>
    <w:sig w:usb0="00000000" w:usb1="00000000" w:usb2="00000016" w:usb3="00000000" w:csb0="602E0107" w:csb1="00000000"/>
  </w:font>
  <w:font w:name="思源黑体">
    <w:panose1 w:val="020B0500000000000000"/>
    <w:charset w:val="86"/>
    <w:family w:val="auto"/>
    <w:pitch w:val="default"/>
    <w:sig w:usb0="30000083" w:usb1="2BDF3C10" w:usb2="00000016" w:usb3="00000000" w:csb0="602E0107" w:csb1="00000000"/>
  </w:font>
  <w:font w:name="方正小标宋简体">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240C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7B25B09">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7B25B09">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F67AD"/>
    <w:rsid w:val="077943AF"/>
    <w:rsid w:val="08DC5BC6"/>
    <w:rsid w:val="0B022CF3"/>
    <w:rsid w:val="0BF7A9F7"/>
    <w:rsid w:val="0C120997"/>
    <w:rsid w:val="0DFB3368"/>
    <w:rsid w:val="0E6521C8"/>
    <w:rsid w:val="0FBD8326"/>
    <w:rsid w:val="0FD70BCE"/>
    <w:rsid w:val="0FF5871B"/>
    <w:rsid w:val="0FFFA790"/>
    <w:rsid w:val="12FB22FC"/>
    <w:rsid w:val="13FF72C0"/>
    <w:rsid w:val="13FFAE46"/>
    <w:rsid w:val="17BF3434"/>
    <w:rsid w:val="17F54C5D"/>
    <w:rsid w:val="19D43D88"/>
    <w:rsid w:val="1AF514A1"/>
    <w:rsid w:val="1BBBB068"/>
    <w:rsid w:val="1D510755"/>
    <w:rsid w:val="1D7B8496"/>
    <w:rsid w:val="1DBAE3AB"/>
    <w:rsid w:val="1E3B8090"/>
    <w:rsid w:val="1F2E7C55"/>
    <w:rsid w:val="1F894FEB"/>
    <w:rsid w:val="1FCE17CB"/>
    <w:rsid w:val="1FDAC3C3"/>
    <w:rsid w:val="1FFA37FF"/>
    <w:rsid w:val="23947EC7"/>
    <w:rsid w:val="23C7FDDD"/>
    <w:rsid w:val="254D00DD"/>
    <w:rsid w:val="267F7656"/>
    <w:rsid w:val="2755A018"/>
    <w:rsid w:val="29BD1A3B"/>
    <w:rsid w:val="29C6F2EE"/>
    <w:rsid w:val="2A7DC460"/>
    <w:rsid w:val="2AE6FDD5"/>
    <w:rsid w:val="2BBE80B2"/>
    <w:rsid w:val="2C5B841B"/>
    <w:rsid w:val="2C61266C"/>
    <w:rsid w:val="2CFD0D32"/>
    <w:rsid w:val="2EFFBDD2"/>
    <w:rsid w:val="2F5ECD06"/>
    <w:rsid w:val="2FBF6AFB"/>
    <w:rsid w:val="2FD73B7D"/>
    <w:rsid w:val="2FDB61AB"/>
    <w:rsid w:val="2FDF709D"/>
    <w:rsid w:val="2FE75910"/>
    <w:rsid w:val="2FF76FFB"/>
    <w:rsid w:val="2FF95F69"/>
    <w:rsid w:val="2FFB509C"/>
    <w:rsid w:val="316EF151"/>
    <w:rsid w:val="34B7FD06"/>
    <w:rsid w:val="3667012A"/>
    <w:rsid w:val="36D88574"/>
    <w:rsid w:val="37670376"/>
    <w:rsid w:val="377BAE32"/>
    <w:rsid w:val="37EDE7F1"/>
    <w:rsid w:val="37EF6F5F"/>
    <w:rsid w:val="37EFC1C5"/>
    <w:rsid w:val="37FBD0B2"/>
    <w:rsid w:val="38E7546B"/>
    <w:rsid w:val="39E77303"/>
    <w:rsid w:val="39FC22F9"/>
    <w:rsid w:val="3A6D333A"/>
    <w:rsid w:val="3AFFD08E"/>
    <w:rsid w:val="3B7FB105"/>
    <w:rsid w:val="3B9D831F"/>
    <w:rsid w:val="3BAE174B"/>
    <w:rsid w:val="3BCF09D3"/>
    <w:rsid w:val="3BDE1CBC"/>
    <w:rsid w:val="3BEF70BA"/>
    <w:rsid w:val="3CFE2087"/>
    <w:rsid w:val="3D773D6D"/>
    <w:rsid w:val="3DBA2527"/>
    <w:rsid w:val="3DFF9EC4"/>
    <w:rsid w:val="3EBF72DC"/>
    <w:rsid w:val="3EEBE9E7"/>
    <w:rsid w:val="3EF6E43A"/>
    <w:rsid w:val="3F29117F"/>
    <w:rsid w:val="3F3F70A6"/>
    <w:rsid w:val="3F5FF260"/>
    <w:rsid w:val="3F7E8C0A"/>
    <w:rsid w:val="3F92E0C3"/>
    <w:rsid w:val="3F9785A9"/>
    <w:rsid w:val="3FA9F54E"/>
    <w:rsid w:val="3FDB1B56"/>
    <w:rsid w:val="3FDF28EF"/>
    <w:rsid w:val="3FE3E6F6"/>
    <w:rsid w:val="3FE58225"/>
    <w:rsid w:val="3FF1B1A5"/>
    <w:rsid w:val="3FF20909"/>
    <w:rsid w:val="3FF926F9"/>
    <w:rsid w:val="3FFAE273"/>
    <w:rsid w:val="3FFEA4ED"/>
    <w:rsid w:val="3FFF6D22"/>
    <w:rsid w:val="3FFFF757"/>
    <w:rsid w:val="42456499"/>
    <w:rsid w:val="45F2BC63"/>
    <w:rsid w:val="46DF8C88"/>
    <w:rsid w:val="47DD5AA3"/>
    <w:rsid w:val="4AFF5208"/>
    <w:rsid w:val="4BAD8C37"/>
    <w:rsid w:val="4BDAEF25"/>
    <w:rsid w:val="4BF351B8"/>
    <w:rsid w:val="4CEF9A56"/>
    <w:rsid w:val="4D73E1BE"/>
    <w:rsid w:val="4D7E3C65"/>
    <w:rsid w:val="4DB7CA18"/>
    <w:rsid w:val="4DDCD1E1"/>
    <w:rsid w:val="4FAF2636"/>
    <w:rsid w:val="55F38CB3"/>
    <w:rsid w:val="57372D7A"/>
    <w:rsid w:val="577FC823"/>
    <w:rsid w:val="57CA2FBB"/>
    <w:rsid w:val="57D9F136"/>
    <w:rsid w:val="57EB8976"/>
    <w:rsid w:val="57F7CD6C"/>
    <w:rsid w:val="57F812A1"/>
    <w:rsid w:val="59DF7253"/>
    <w:rsid w:val="59FF0CC7"/>
    <w:rsid w:val="5A6F1088"/>
    <w:rsid w:val="5B74DE9D"/>
    <w:rsid w:val="5B879753"/>
    <w:rsid w:val="5BBF23D3"/>
    <w:rsid w:val="5BD672AA"/>
    <w:rsid w:val="5BF1C5DC"/>
    <w:rsid w:val="5D7F342F"/>
    <w:rsid w:val="5DEB7948"/>
    <w:rsid w:val="5DFB6C63"/>
    <w:rsid w:val="5E1F82C5"/>
    <w:rsid w:val="5E2EFB1A"/>
    <w:rsid w:val="5E7A9E9E"/>
    <w:rsid w:val="5EA40C70"/>
    <w:rsid w:val="5EE5BEB6"/>
    <w:rsid w:val="5F2FC494"/>
    <w:rsid w:val="5F7A11AD"/>
    <w:rsid w:val="5F7F042D"/>
    <w:rsid w:val="5F7F9C12"/>
    <w:rsid w:val="5FAF3127"/>
    <w:rsid w:val="5FB568B7"/>
    <w:rsid w:val="5FBF4519"/>
    <w:rsid w:val="5FDC2208"/>
    <w:rsid w:val="5FDD631C"/>
    <w:rsid w:val="5FDDE85E"/>
    <w:rsid w:val="5FDEADA7"/>
    <w:rsid w:val="5FED98C7"/>
    <w:rsid w:val="5FEF0BAB"/>
    <w:rsid w:val="5FEFB6F3"/>
    <w:rsid w:val="5FF35A59"/>
    <w:rsid w:val="5FF68BFA"/>
    <w:rsid w:val="5FF71AE4"/>
    <w:rsid w:val="5FFB9398"/>
    <w:rsid w:val="5FFEA3CC"/>
    <w:rsid w:val="5FFFA6F0"/>
    <w:rsid w:val="61BEBDCA"/>
    <w:rsid w:val="633F6FAB"/>
    <w:rsid w:val="653FD736"/>
    <w:rsid w:val="65EA4513"/>
    <w:rsid w:val="66FD2525"/>
    <w:rsid w:val="67443656"/>
    <w:rsid w:val="67754839"/>
    <w:rsid w:val="677B3EBB"/>
    <w:rsid w:val="677F599D"/>
    <w:rsid w:val="67BC9486"/>
    <w:rsid w:val="67DF2693"/>
    <w:rsid w:val="67DF2DA5"/>
    <w:rsid w:val="67EF3FF4"/>
    <w:rsid w:val="69DDF709"/>
    <w:rsid w:val="6A2B0191"/>
    <w:rsid w:val="6AB6B5F7"/>
    <w:rsid w:val="6BDF4C0D"/>
    <w:rsid w:val="6BEF7C57"/>
    <w:rsid w:val="6CAF3538"/>
    <w:rsid w:val="6CCF9050"/>
    <w:rsid w:val="6DBF56E2"/>
    <w:rsid w:val="6DE303B5"/>
    <w:rsid w:val="6DFF7BFC"/>
    <w:rsid w:val="6E53F71E"/>
    <w:rsid w:val="6E7B9193"/>
    <w:rsid w:val="6E973E5A"/>
    <w:rsid w:val="6EDCCDC7"/>
    <w:rsid w:val="6EFED366"/>
    <w:rsid w:val="6EFF5522"/>
    <w:rsid w:val="6F47D89C"/>
    <w:rsid w:val="6F7BCF60"/>
    <w:rsid w:val="6F7F829D"/>
    <w:rsid w:val="6F7F898F"/>
    <w:rsid w:val="6F9CF99D"/>
    <w:rsid w:val="6FB7126F"/>
    <w:rsid w:val="6FBB56F6"/>
    <w:rsid w:val="6FBFCD9D"/>
    <w:rsid w:val="6FDFA885"/>
    <w:rsid w:val="6FEFE342"/>
    <w:rsid w:val="6FF30650"/>
    <w:rsid w:val="6FF81275"/>
    <w:rsid w:val="6FF918C9"/>
    <w:rsid w:val="6FFD245F"/>
    <w:rsid w:val="6FFEF7B8"/>
    <w:rsid w:val="6FFF2041"/>
    <w:rsid w:val="6FFF2B5F"/>
    <w:rsid w:val="6FFF9783"/>
    <w:rsid w:val="6FFFF931"/>
    <w:rsid w:val="7147634E"/>
    <w:rsid w:val="71F0651E"/>
    <w:rsid w:val="727F595C"/>
    <w:rsid w:val="7336EF1D"/>
    <w:rsid w:val="733BEC38"/>
    <w:rsid w:val="736B46E6"/>
    <w:rsid w:val="73721C64"/>
    <w:rsid w:val="7376F317"/>
    <w:rsid w:val="73AACF76"/>
    <w:rsid w:val="73BF138C"/>
    <w:rsid w:val="73F53230"/>
    <w:rsid w:val="73F8D18C"/>
    <w:rsid w:val="73FF7524"/>
    <w:rsid w:val="74FC7387"/>
    <w:rsid w:val="75260C2D"/>
    <w:rsid w:val="75760F36"/>
    <w:rsid w:val="75ED8FE7"/>
    <w:rsid w:val="75F7DDDD"/>
    <w:rsid w:val="75FAB464"/>
    <w:rsid w:val="765E9E83"/>
    <w:rsid w:val="767BEBF6"/>
    <w:rsid w:val="767FCA9A"/>
    <w:rsid w:val="768D582B"/>
    <w:rsid w:val="76DB2FCA"/>
    <w:rsid w:val="76FF80ED"/>
    <w:rsid w:val="76FFC427"/>
    <w:rsid w:val="773733B6"/>
    <w:rsid w:val="775DCCAE"/>
    <w:rsid w:val="77779567"/>
    <w:rsid w:val="777A003C"/>
    <w:rsid w:val="777A581C"/>
    <w:rsid w:val="777C4534"/>
    <w:rsid w:val="777FA648"/>
    <w:rsid w:val="7799F4CA"/>
    <w:rsid w:val="77A91B55"/>
    <w:rsid w:val="77AF977A"/>
    <w:rsid w:val="77B9E2D5"/>
    <w:rsid w:val="77BEF0DF"/>
    <w:rsid w:val="77BFBBEE"/>
    <w:rsid w:val="77D3C6EB"/>
    <w:rsid w:val="77D757DB"/>
    <w:rsid w:val="77DC5038"/>
    <w:rsid w:val="77DFFAA6"/>
    <w:rsid w:val="77E2A164"/>
    <w:rsid w:val="77EBD5B2"/>
    <w:rsid w:val="77EFFB72"/>
    <w:rsid w:val="77F92B85"/>
    <w:rsid w:val="77FA8F8E"/>
    <w:rsid w:val="77FE4134"/>
    <w:rsid w:val="77FF7432"/>
    <w:rsid w:val="77FFAD54"/>
    <w:rsid w:val="78777631"/>
    <w:rsid w:val="78ED7194"/>
    <w:rsid w:val="78FDD023"/>
    <w:rsid w:val="79CF4904"/>
    <w:rsid w:val="79DE583D"/>
    <w:rsid w:val="79EDE9D7"/>
    <w:rsid w:val="79EE8B11"/>
    <w:rsid w:val="7A3C08BB"/>
    <w:rsid w:val="7A7EED71"/>
    <w:rsid w:val="7ABE5A05"/>
    <w:rsid w:val="7AD6D8F1"/>
    <w:rsid w:val="7AE77FFB"/>
    <w:rsid w:val="7AF746C0"/>
    <w:rsid w:val="7B3365DB"/>
    <w:rsid w:val="7B67F600"/>
    <w:rsid w:val="7B697D81"/>
    <w:rsid w:val="7B729CB1"/>
    <w:rsid w:val="7B7AD914"/>
    <w:rsid w:val="7B7B5DAC"/>
    <w:rsid w:val="7B7BFF59"/>
    <w:rsid w:val="7BACEBC3"/>
    <w:rsid w:val="7BBBD40B"/>
    <w:rsid w:val="7BBE33FC"/>
    <w:rsid w:val="7BDF6D2F"/>
    <w:rsid w:val="7BDFBED9"/>
    <w:rsid w:val="7BE11644"/>
    <w:rsid w:val="7BE9E712"/>
    <w:rsid w:val="7BF12D21"/>
    <w:rsid w:val="7BF31972"/>
    <w:rsid w:val="7BF73D3E"/>
    <w:rsid w:val="7BFF7CF2"/>
    <w:rsid w:val="7BFF9230"/>
    <w:rsid w:val="7BFFCD24"/>
    <w:rsid w:val="7BFFF3EB"/>
    <w:rsid w:val="7C5B0AB4"/>
    <w:rsid w:val="7C7AFB57"/>
    <w:rsid w:val="7CBBDD28"/>
    <w:rsid w:val="7CBF644B"/>
    <w:rsid w:val="7CE6FCC7"/>
    <w:rsid w:val="7CEA9BDF"/>
    <w:rsid w:val="7CEDE015"/>
    <w:rsid w:val="7CFF7200"/>
    <w:rsid w:val="7CFF7ACF"/>
    <w:rsid w:val="7D7607A9"/>
    <w:rsid w:val="7D7D8F2C"/>
    <w:rsid w:val="7D8F5357"/>
    <w:rsid w:val="7DA669F4"/>
    <w:rsid w:val="7DB7C27C"/>
    <w:rsid w:val="7DBD4332"/>
    <w:rsid w:val="7DBFD31B"/>
    <w:rsid w:val="7DD75C5C"/>
    <w:rsid w:val="7DDD35C7"/>
    <w:rsid w:val="7DDF2E22"/>
    <w:rsid w:val="7DDFA2E7"/>
    <w:rsid w:val="7DF53129"/>
    <w:rsid w:val="7DFD54E5"/>
    <w:rsid w:val="7DFDF516"/>
    <w:rsid w:val="7DFF2FEF"/>
    <w:rsid w:val="7DFF4D75"/>
    <w:rsid w:val="7DFF93C8"/>
    <w:rsid w:val="7E37394D"/>
    <w:rsid w:val="7E6CBF39"/>
    <w:rsid w:val="7E73FF4C"/>
    <w:rsid w:val="7E7B2919"/>
    <w:rsid w:val="7E7B3941"/>
    <w:rsid w:val="7E7F53BD"/>
    <w:rsid w:val="7E97F949"/>
    <w:rsid w:val="7EABB16D"/>
    <w:rsid w:val="7EBB2823"/>
    <w:rsid w:val="7EBF8335"/>
    <w:rsid w:val="7ED35258"/>
    <w:rsid w:val="7EDF7EA7"/>
    <w:rsid w:val="7EED4CB7"/>
    <w:rsid w:val="7EFB9B1E"/>
    <w:rsid w:val="7EFBF6E0"/>
    <w:rsid w:val="7EFD2BE9"/>
    <w:rsid w:val="7EFD8368"/>
    <w:rsid w:val="7EFE9805"/>
    <w:rsid w:val="7EFFC9B7"/>
    <w:rsid w:val="7F1E03CF"/>
    <w:rsid w:val="7F37D6E4"/>
    <w:rsid w:val="7F39A09A"/>
    <w:rsid w:val="7F3CE23C"/>
    <w:rsid w:val="7F3E1492"/>
    <w:rsid w:val="7F3E617D"/>
    <w:rsid w:val="7F3EC2AB"/>
    <w:rsid w:val="7F431AE6"/>
    <w:rsid w:val="7F52F1E2"/>
    <w:rsid w:val="7F5A3FA0"/>
    <w:rsid w:val="7F5F92DC"/>
    <w:rsid w:val="7F6F7371"/>
    <w:rsid w:val="7F75175F"/>
    <w:rsid w:val="7F7B1683"/>
    <w:rsid w:val="7F7B3C18"/>
    <w:rsid w:val="7F7D32DA"/>
    <w:rsid w:val="7F978978"/>
    <w:rsid w:val="7FBD6B4A"/>
    <w:rsid w:val="7FBF06E6"/>
    <w:rsid w:val="7FBF115B"/>
    <w:rsid w:val="7FCA1BC9"/>
    <w:rsid w:val="7FCB82F2"/>
    <w:rsid w:val="7FCD49CD"/>
    <w:rsid w:val="7FCFBD7E"/>
    <w:rsid w:val="7FD19BFC"/>
    <w:rsid w:val="7FD5759B"/>
    <w:rsid w:val="7FD79EC0"/>
    <w:rsid w:val="7FD7D4B8"/>
    <w:rsid w:val="7FDF115E"/>
    <w:rsid w:val="7FE9A0F4"/>
    <w:rsid w:val="7FEB4E10"/>
    <w:rsid w:val="7FEF2A58"/>
    <w:rsid w:val="7FEF5D84"/>
    <w:rsid w:val="7FF41A2D"/>
    <w:rsid w:val="7FF5067A"/>
    <w:rsid w:val="7FF52AC8"/>
    <w:rsid w:val="7FF7381B"/>
    <w:rsid w:val="7FF78FA1"/>
    <w:rsid w:val="7FF7D4D1"/>
    <w:rsid w:val="7FFB277C"/>
    <w:rsid w:val="7FFB69F7"/>
    <w:rsid w:val="7FFB74C8"/>
    <w:rsid w:val="7FFC9380"/>
    <w:rsid w:val="7FFDCF71"/>
    <w:rsid w:val="7FFE14FF"/>
    <w:rsid w:val="7FFF2978"/>
    <w:rsid w:val="7FFF4B26"/>
    <w:rsid w:val="86FDB7F5"/>
    <w:rsid w:val="8BF603CD"/>
    <w:rsid w:val="8DBDCB08"/>
    <w:rsid w:val="8DE934BC"/>
    <w:rsid w:val="8EEEF3B4"/>
    <w:rsid w:val="8FFF90FE"/>
    <w:rsid w:val="96BE2C6A"/>
    <w:rsid w:val="976FDA51"/>
    <w:rsid w:val="977F976D"/>
    <w:rsid w:val="979D9297"/>
    <w:rsid w:val="97CF9F28"/>
    <w:rsid w:val="97EF1D0A"/>
    <w:rsid w:val="9A7D2E4B"/>
    <w:rsid w:val="9A9F4CB8"/>
    <w:rsid w:val="9BDB3F7D"/>
    <w:rsid w:val="9DDD51BC"/>
    <w:rsid w:val="9DDF1104"/>
    <w:rsid w:val="9F3DB8DC"/>
    <w:rsid w:val="9F7FEAEE"/>
    <w:rsid w:val="9FDFE480"/>
    <w:rsid w:val="9FEB30CA"/>
    <w:rsid w:val="9FEB64FB"/>
    <w:rsid w:val="9FEE07D3"/>
    <w:rsid w:val="9FFC3CFF"/>
    <w:rsid w:val="A2B7331A"/>
    <w:rsid w:val="A5EFB1A3"/>
    <w:rsid w:val="A8669C53"/>
    <w:rsid w:val="A94E29EB"/>
    <w:rsid w:val="AAF7D6DF"/>
    <w:rsid w:val="AAF9B19C"/>
    <w:rsid w:val="ABAF15ED"/>
    <w:rsid w:val="ABEF3469"/>
    <w:rsid w:val="AC2F3842"/>
    <w:rsid w:val="ACE5DD44"/>
    <w:rsid w:val="ACFF0797"/>
    <w:rsid w:val="ADEF464C"/>
    <w:rsid w:val="ADEF86ED"/>
    <w:rsid w:val="ADFD2F39"/>
    <w:rsid w:val="AE6AD9E8"/>
    <w:rsid w:val="AEFF690B"/>
    <w:rsid w:val="AF33A88D"/>
    <w:rsid w:val="AF77A53C"/>
    <w:rsid w:val="AFBF240A"/>
    <w:rsid w:val="AFEBF868"/>
    <w:rsid w:val="AFF6A42B"/>
    <w:rsid w:val="AFFB60BA"/>
    <w:rsid w:val="AFFE236B"/>
    <w:rsid w:val="AFFFBA15"/>
    <w:rsid w:val="B19FCDDF"/>
    <w:rsid w:val="B3740D70"/>
    <w:rsid w:val="B3B7AAF3"/>
    <w:rsid w:val="B57FAF56"/>
    <w:rsid w:val="B67D4F27"/>
    <w:rsid w:val="B6DC0A35"/>
    <w:rsid w:val="B73F7449"/>
    <w:rsid w:val="B77ACA31"/>
    <w:rsid w:val="B77F461A"/>
    <w:rsid w:val="B77FA276"/>
    <w:rsid w:val="B77FC41B"/>
    <w:rsid w:val="B7EF56B2"/>
    <w:rsid w:val="B7F94142"/>
    <w:rsid w:val="B7FF2D73"/>
    <w:rsid w:val="B8EE5F82"/>
    <w:rsid w:val="B9EF7686"/>
    <w:rsid w:val="BA6E4D0E"/>
    <w:rsid w:val="BAE6922B"/>
    <w:rsid w:val="BB12F9D4"/>
    <w:rsid w:val="BB76EB9F"/>
    <w:rsid w:val="BBBD3282"/>
    <w:rsid w:val="BBD5780F"/>
    <w:rsid w:val="BBDFDB17"/>
    <w:rsid w:val="BBEFE215"/>
    <w:rsid w:val="BDF99837"/>
    <w:rsid w:val="BDFF6720"/>
    <w:rsid w:val="BDFFCB14"/>
    <w:rsid w:val="BDFFDAA9"/>
    <w:rsid w:val="BE3D0A41"/>
    <w:rsid w:val="BE6E3337"/>
    <w:rsid w:val="BE9FEFD5"/>
    <w:rsid w:val="BEE2E8D5"/>
    <w:rsid w:val="BEEFB3C3"/>
    <w:rsid w:val="BEFF688A"/>
    <w:rsid w:val="BF0B8C68"/>
    <w:rsid w:val="BF1F3D4B"/>
    <w:rsid w:val="BF7EE5AD"/>
    <w:rsid w:val="BFB2805E"/>
    <w:rsid w:val="BFBB053B"/>
    <w:rsid w:val="BFCD89F0"/>
    <w:rsid w:val="BFCF4CB0"/>
    <w:rsid w:val="BFD7CC2D"/>
    <w:rsid w:val="BFE63BFB"/>
    <w:rsid w:val="BFE72A66"/>
    <w:rsid w:val="BFEDAC5E"/>
    <w:rsid w:val="BFEF5E97"/>
    <w:rsid w:val="BFF04DCF"/>
    <w:rsid w:val="BFF5A5DB"/>
    <w:rsid w:val="BFF7BFBD"/>
    <w:rsid w:val="BFF7D24D"/>
    <w:rsid w:val="BFFBE0D2"/>
    <w:rsid w:val="BFFBFEB6"/>
    <w:rsid w:val="BFFF5EA9"/>
    <w:rsid w:val="BFFF8F01"/>
    <w:rsid w:val="BFFFE8B4"/>
    <w:rsid w:val="BFFFFEDF"/>
    <w:rsid w:val="C2DFBB5F"/>
    <w:rsid w:val="C77FBFE2"/>
    <w:rsid w:val="C8FFA269"/>
    <w:rsid w:val="C9BFD670"/>
    <w:rsid w:val="CBF36921"/>
    <w:rsid w:val="CCEE138A"/>
    <w:rsid w:val="CE7BDB39"/>
    <w:rsid w:val="CED82ABA"/>
    <w:rsid w:val="CEFBC684"/>
    <w:rsid w:val="CF3E3756"/>
    <w:rsid w:val="CF96391F"/>
    <w:rsid w:val="CFF6B3EC"/>
    <w:rsid w:val="CFFFDCF2"/>
    <w:rsid w:val="D26FE388"/>
    <w:rsid w:val="D3BB4EE5"/>
    <w:rsid w:val="D3DF556E"/>
    <w:rsid w:val="D45FB2AD"/>
    <w:rsid w:val="D57F882B"/>
    <w:rsid w:val="D5EFC4E5"/>
    <w:rsid w:val="D70D4794"/>
    <w:rsid w:val="D7BE6707"/>
    <w:rsid w:val="D7DEA593"/>
    <w:rsid w:val="D7F205DF"/>
    <w:rsid w:val="D7F7CDC5"/>
    <w:rsid w:val="D7FB9FF1"/>
    <w:rsid w:val="D7FEA1AB"/>
    <w:rsid w:val="D8BC43C4"/>
    <w:rsid w:val="D99F353E"/>
    <w:rsid w:val="DADFB10E"/>
    <w:rsid w:val="DAFB9478"/>
    <w:rsid w:val="DB3C0338"/>
    <w:rsid w:val="DBB97394"/>
    <w:rsid w:val="DBD7E704"/>
    <w:rsid w:val="DBEA079D"/>
    <w:rsid w:val="DBF9918F"/>
    <w:rsid w:val="DBFFDC03"/>
    <w:rsid w:val="DC7F649B"/>
    <w:rsid w:val="DD3F7FDA"/>
    <w:rsid w:val="DDCB5D72"/>
    <w:rsid w:val="DDF76FEB"/>
    <w:rsid w:val="DDFA4DDA"/>
    <w:rsid w:val="DDFAF259"/>
    <w:rsid w:val="DDFC0BD3"/>
    <w:rsid w:val="DDFDCD19"/>
    <w:rsid w:val="DDFF3BCE"/>
    <w:rsid w:val="DE1DAF6E"/>
    <w:rsid w:val="DE3AB07A"/>
    <w:rsid w:val="DE4F5941"/>
    <w:rsid w:val="DE7FC7AC"/>
    <w:rsid w:val="DE9D7C0B"/>
    <w:rsid w:val="DEBF33C2"/>
    <w:rsid w:val="DEEFE81A"/>
    <w:rsid w:val="DF176214"/>
    <w:rsid w:val="DF3B190B"/>
    <w:rsid w:val="DF3B5286"/>
    <w:rsid w:val="DF5F0DC4"/>
    <w:rsid w:val="DF6DE467"/>
    <w:rsid w:val="DF7EC747"/>
    <w:rsid w:val="DFBB41F7"/>
    <w:rsid w:val="DFBC20D8"/>
    <w:rsid w:val="DFCF6C48"/>
    <w:rsid w:val="DFDB2AB0"/>
    <w:rsid w:val="DFDB5086"/>
    <w:rsid w:val="DFEB051E"/>
    <w:rsid w:val="DFEE5C0B"/>
    <w:rsid w:val="DFEF5DA2"/>
    <w:rsid w:val="DFF7DD51"/>
    <w:rsid w:val="DFFF79E9"/>
    <w:rsid w:val="DFFF87BC"/>
    <w:rsid w:val="E03E8776"/>
    <w:rsid w:val="E37A395F"/>
    <w:rsid w:val="E3FD56DE"/>
    <w:rsid w:val="E5BDEFF6"/>
    <w:rsid w:val="E67F6BC6"/>
    <w:rsid w:val="E67FACAB"/>
    <w:rsid w:val="E6FF9D75"/>
    <w:rsid w:val="E7C1DEDA"/>
    <w:rsid w:val="E7D61373"/>
    <w:rsid w:val="E7D6AA8E"/>
    <w:rsid w:val="E7DB797A"/>
    <w:rsid w:val="E7F7CC98"/>
    <w:rsid w:val="E97FE22C"/>
    <w:rsid w:val="E9B7DA19"/>
    <w:rsid w:val="E9BF00AD"/>
    <w:rsid w:val="EA4DF79B"/>
    <w:rsid w:val="EA6F9FAD"/>
    <w:rsid w:val="EA7F7FF2"/>
    <w:rsid w:val="EB571ACA"/>
    <w:rsid w:val="EB5B4624"/>
    <w:rsid w:val="EB7B9650"/>
    <w:rsid w:val="EBDE6758"/>
    <w:rsid w:val="EBDF2DAF"/>
    <w:rsid w:val="EBF700F3"/>
    <w:rsid w:val="EBF707C8"/>
    <w:rsid w:val="EBFA597F"/>
    <w:rsid w:val="EBFDCB64"/>
    <w:rsid w:val="EC2F5D69"/>
    <w:rsid w:val="ED3F4677"/>
    <w:rsid w:val="ED64A60C"/>
    <w:rsid w:val="ED7E8966"/>
    <w:rsid w:val="EDB70D0C"/>
    <w:rsid w:val="EE78D931"/>
    <w:rsid w:val="EE7E6773"/>
    <w:rsid w:val="EEBA825D"/>
    <w:rsid w:val="EEBF3EFE"/>
    <w:rsid w:val="EF07C0C8"/>
    <w:rsid w:val="EF13A1E5"/>
    <w:rsid w:val="EF33B07B"/>
    <w:rsid w:val="EF5F1EA6"/>
    <w:rsid w:val="EF7B8065"/>
    <w:rsid w:val="EF7E0BFD"/>
    <w:rsid w:val="EFA5887F"/>
    <w:rsid w:val="EFB1ACA2"/>
    <w:rsid w:val="EFBCE777"/>
    <w:rsid w:val="EFBD0CBB"/>
    <w:rsid w:val="EFBD74FE"/>
    <w:rsid w:val="EFBF31CD"/>
    <w:rsid w:val="EFBFE6D1"/>
    <w:rsid w:val="EFD7FFD6"/>
    <w:rsid w:val="EFDF3116"/>
    <w:rsid w:val="EFEBDE10"/>
    <w:rsid w:val="EFFC4214"/>
    <w:rsid w:val="EFFDD885"/>
    <w:rsid w:val="F1898BD8"/>
    <w:rsid w:val="F1BD129D"/>
    <w:rsid w:val="F1D67E6E"/>
    <w:rsid w:val="F1FD20C2"/>
    <w:rsid w:val="F2B32C68"/>
    <w:rsid w:val="F2F76747"/>
    <w:rsid w:val="F2FC403A"/>
    <w:rsid w:val="F2FF7A16"/>
    <w:rsid w:val="F3439A96"/>
    <w:rsid w:val="F35B5E53"/>
    <w:rsid w:val="F36968BF"/>
    <w:rsid w:val="F3B78CF6"/>
    <w:rsid w:val="F3EFA0EF"/>
    <w:rsid w:val="F3FFE80A"/>
    <w:rsid w:val="F4AF7BD6"/>
    <w:rsid w:val="F4DA6ABC"/>
    <w:rsid w:val="F4EE6A79"/>
    <w:rsid w:val="F5A9AF3D"/>
    <w:rsid w:val="F5C74CAF"/>
    <w:rsid w:val="F5EF2570"/>
    <w:rsid w:val="F5FF7C58"/>
    <w:rsid w:val="F5FFF624"/>
    <w:rsid w:val="F65F6444"/>
    <w:rsid w:val="F67B63A5"/>
    <w:rsid w:val="F67EABA3"/>
    <w:rsid w:val="F6AD5D16"/>
    <w:rsid w:val="F6B90873"/>
    <w:rsid w:val="F6BFF362"/>
    <w:rsid w:val="F6E71FCB"/>
    <w:rsid w:val="F6EE4830"/>
    <w:rsid w:val="F6EF8C07"/>
    <w:rsid w:val="F6FF66F4"/>
    <w:rsid w:val="F6FF8026"/>
    <w:rsid w:val="F73C89ED"/>
    <w:rsid w:val="F759585C"/>
    <w:rsid w:val="F75F00B8"/>
    <w:rsid w:val="F76A9F5C"/>
    <w:rsid w:val="F76F3344"/>
    <w:rsid w:val="F7AFB511"/>
    <w:rsid w:val="F7B7192F"/>
    <w:rsid w:val="F7EDBE7C"/>
    <w:rsid w:val="F7EE7DCC"/>
    <w:rsid w:val="F7EFDA07"/>
    <w:rsid w:val="F7F6CE9C"/>
    <w:rsid w:val="F7F7AEDD"/>
    <w:rsid w:val="F7FE7DF5"/>
    <w:rsid w:val="F7FF39BC"/>
    <w:rsid w:val="F8EAD4B0"/>
    <w:rsid w:val="F9D8AE94"/>
    <w:rsid w:val="F9DEDFEC"/>
    <w:rsid w:val="F9F72A63"/>
    <w:rsid w:val="F9FF6FF7"/>
    <w:rsid w:val="FA3721B2"/>
    <w:rsid w:val="FA7F5D57"/>
    <w:rsid w:val="FA9D5DF5"/>
    <w:rsid w:val="FABB98DD"/>
    <w:rsid w:val="FAFF74F3"/>
    <w:rsid w:val="FAFF7D9B"/>
    <w:rsid w:val="FB3D2BE2"/>
    <w:rsid w:val="FB77DBAC"/>
    <w:rsid w:val="FB7EA410"/>
    <w:rsid w:val="FB9EACD6"/>
    <w:rsid w:val="FBA3C81B"/>
    <w:rsid w:val="FBA92692"/>
    <w:rsid w:val="FBBE1720"/>
    <w:rsid w:val="FBD50BF8"/>
    <w:rsid w:val="FBDFEFD3"/>
    <w:rsid w:val="FBEF678B"/>
    <w:rsid w:val="FBFB5F18"/>
    <w:rsid w:val="FBFF4540"/>
    <w:rsid w:val="FC0BEA90"/>
    <w:rsid w:val="FC1E6220"/>
    <w:rsid w:val="FC2FBF6F"/>
    <w:rsid w:val="FC2FFA9A"/>
    <w:rsid w:val="FCE7CC0A"/>
    <w:rsid w:val="FCF6550B"/>
    <w:rsid w:val="FCFD3C5F"/>
    <w:rsid w:val="FD2E9018"/>
    <w:rsid w:val="FD777C83"/>
    <w:rsid w:val="FD97070C"/>
    <w:rsid w:val="FD9FC7B5"/>
    <w:rsid w:val="FDAF5FF0"/>
    <w:rsid w:val="FDBE120B"/>
    <w:rsid w:val="FDCFC616"/>
    <w:rsid w:val="FDD57251"/>
    <w:rsid w:val="FDDBD2F1"/>
    <w:rsid w:val="FDEE16F6"/>
    <w:rsid w:val="FDF2E51D"/>
    <w:rsid w:val="FDFBE0BD"/>
    <w:rsid w:val="FE3FDAD7"/>
    <w:rsid w:val="FE5A1E34"/>
    <w:rsid w:val="FE5BCB0F"/>
    <w:rsid w:val="FE5E44DF"/>
    <w:rsid w:val="FE707CAB"/>
    <w:rsid w:val="FE7F9627"/>
    <w:rsid w:val="FEAD5243"/>
    <w:rsid w:val="FEBEBEFE"/>
    <w:rsid w:val="FEBEE92F"/>
    <w:rsid w:val="FEDBC076"/>
    <w:rsid w:val="FEDE1BF7"/>
    <w:rsid w:val="FEDE73B9"/>
    <w:rsid w:val="FEDF4416"/>
    <w:rsid w:val="FEEBFBEC"/>
    <w:rsid w:val="FEEE5B76"/>
    <w:rsid w:val="FEF40512"/>
    <w:rsid w:val="FEF7F552"/>
    <w:rsid w:val="FEFBD324"/>
    <w:rsid w:val="FEFF2E47"/>
    <w:rsid w:val="FEFF6D6A"/>
    <w:rsid w:val="FF32D2EF"/>
    <w:rsid w:val="FF3F531B"/>
    <w:rsid w:val="FF5DFF0E"/>
    <w:rsid w:val="FF5FA2B6"/>
    <w:rsid w:val="FF772C73"/>
    <w:rsid w:val="FF78CB2D"/>
    <w:rsid w:val="FF7AA310"/>
    <w:rsid w:val="FF7B86BB"/>
    <w:rsid w:val="FF7BED13"/>
    <w:rsid w:val="FF7F1915"/>
    <w:rsid w:val="FF7F42A3"/>
    <w:rsid w:val="FF7F56FD"/>
    <w:rsid w:val="FF7F9F76"/>
    <w:rsid w:val="FFAEE6F3"/>
    <w:rsid w:val="FFB57BCE"/>
    <w:rsid w:val="FFB778A1"/>
    <w:rsid w:val="FFB9108D"/>
    <w:rsid w:val="FFBB6422"/>
    <w:rsid w:val="FFBE231E"/>
    <w:rsid w:val="FFBECCE1"/>
    <w:rsid w:val="FFBFE1B0"/>
    <w:rsid w:val="FFCE0E18"/>
    <w:rsid w:val="FFDB5757"/>
    <w:rsid w:val="FFDF8366"/>
    <w:rsid w:val="FFDFA9A5"/>
    <w:rsid w:val="FFE654FF"/>
    <w:rsid w:val="FFE7CCA5"/>
    <w:rsid w:val="FFE9131B"/>
    <w:rsid w:val="FFE9BE4E"/>
    <w:rsid w:val="FFED1EFF"/>
    <w:rsid w:val="FFED3355"/>
    <w:rsid w:val="FFED9852"/>
    <w:rsid w:val="FFED9D75"/>
    <w:rsid w:val="FFEF334C"/>
    <w:rsid w:val="FFEF3396"/>
    <w:rsid w:val="FFEF5DD4"/>
    <w:rsid w:val="FFF2C2EE"/>
    <w:rsid w:val="FFF30B5A"/>
    <w:rsid w:val="FFF32388"/>
    <w:rsid w:val="FFF35A40"/>
    <w:rsid w:val="FFF577A8"/>
    <w:rsid w:val="FFF58859"/>
    <w:rsid w:val="FFF71BBD"/>
    <w:rsid w:val="FFF76586"/>
    <w:rsid w:val="FFF7BF1C"/>
    <w:rsid w:val="FFFAAE1B"/>
    <w:rsid w:val="FFFB047E"/>
    <w:rsid w:val="FFFD8477"/>
    <w:rsid w:val="FFFD9766"/>
    <w:rsid w:val="FFFDC4A6"/>
    <w:rsid w:val="FFFE6235"/>
    <w:rsid w:val="FFFEAC90"/>
    <w:rsid w:val="FFFF588C"/>
    <w:rsid w:val="FFFF6490"/>
    <w:rsid w:val="FFFFE000"/>
    <w:rsid w:val="FFFFF4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12">
    <w:name w:val="Default Paragraph Font"/>
    <w:qFormat/>
    <w:uiPriority w:val="0"/>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Arial" w:hAnsi="Arial" w:eastAsia="仿宋_GB2312" w:cs="Times New Roman"/>
      <w:sz w:val="30"/>
    </w:rPr>
  </w:style>
  <w:style w:type="paragraph" w:styleId="3">
    <w:name w:val="caption"/>
    <w:basedOn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4"/>
    <w:qFormat/>
    <w:uiPriority w:val="0"/>
  </w:style>
  <w:style w:type="paragraph" w:styleId="8">
    <w:name w:val="Normal (Web)"/>
    <w:basedOn w:val="1"/>
    <w:next w:val="1"/>
    <w:qFormat/>
    <w:uiPriority w:val="0"/>
    <w:pPr>
      <w:widowControl/>
      <w:spacing w:before="100" w:beforeAutospacing="1" w:after="100" w:afterAutospacing="1"/>
      <w:jc w:val="left"/>
    </w:pPr>
    <w:rPr>
      <w:rFonts w:ascii="宋体" w:hAnsi="宋体" w:eastAsia="宋体" w:cs="宋体"/>
      <w:kern w:val="0"/>
      <w:sz w:val="24"/>
    </w:rPr>
  </w:style>
  <w:style w:type="paragraph" w:styleId="9">
    <w:name w:val="Body Text First Indent"/>
    <w:basedOn w:val="4"/>
    <w:next w:val="2"/>
    <w:qFormat/>
    <w:uiPriority w:val="0"/>
    <w:pPr>
      <w:widowControl/>
      <w:spacing w:after="0" w:line="276" w:lineRule="auto"/>
      <w:ind w:firstLine="420"/>
      <w:textAlignment w:val="baseline"/>
    </w:pPr>
    <w:rPr>
      <w:rFonts w:ascii="Times New Roman" w:hAnsi="Times New Roma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默认段落字体1"/>
    <w:qFormat/>
    <w:uiPriority w:val="0"/>
  </w:style>
  <w:style w:type="paragraph" w:customStyle="1" w:styleId="14">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5">
    <w:name w:val="Index"/>
    <w:basedOn w:val="1"/>
    <w:qFormat/>
    <w:uiPriority w:val="0"/>
    <w:pPr>
      <w:widowControl w:val="0"/>
      <w:suppressLineNumbers/>
      <w:suppressAutoHyphens/>
    </w:pPr>
  </w:style>
  <w:style w:type="paragraph" w:customStyle="1" w:styleId="16">
    <w:name w:val="正文首行缩进 21"/>
    <w:basedOn w:val="17"/>
    <w:next w:val="8"/>
    <w:qFormat/>
    <w:uiPriority w:val="0"/>
    <w:pPr>
      <w:ind w:left="200" w:leftChars="200"/>
    </w:pPr>
    <w:rPr>
      <w:rFonts w:ascii="Calibri" w:hAnsi="Calibri" w:eastAsia="仿宋_GB2312"/>
      <w:sz w:val="32"/>
      <w:szCs w:val="32"/>
    </w:rPr>
  </w:style>
  <w:style w:type="paragraph" w:customStyle="1" w:styleId="17">
    <w:name w:val="正文文本缩进1"/>
    <w:basedOn w:val="1"/>
    <w:qFormat/>
    <w:uiPriority w:val="0"/>
    <w:pPr>
      <w:ind w:left="200" w:leftChars="200"/>
    </w:pPr>
  </w:style>
  <w:style w:type="paragraph" w:customStyle="1" w:styleId="18">
    <w:name w:val="Table Text"/>
    <w:basedOn w:val="1"/>
    <w:semiHidden/>
    <w:qFormat/>
    <w:uiPriority w:val="0"/>
    <w:rPr>
      <w:rFonts w:ascii="宋体" w:hAnsi="宋体" w:eastAsia="宋体" w:cs="宋体"/>
      <w:sz w:val="26"/>
      <w:szCs w:val="26"/>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Words>406</Words>
  <Characters>420</Characters>
  <TotalTime>167</TotalTime>
  <ScaleCrop>false</ScaleCrop>
  <LinksUpToDate>false</LinksUpToDate>
  <CharactersWithSpaces>420</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2018-12-03T17:47:00Z</dcterms:created>
  <dc:creator>baixin</dc:creator>
  <cp:lastModifiedBy>张晶</cp:lastModifiedBy>
  <cp:lastPrinted>2026-10-29T16:13:57Z</cp:lastPrinted>
  <dcterms:modified xsi:type="dcterms:W3CDTF">2026-10-29T16:15:07Z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E95B87C090CF4EB18B00E36A30B0F267_43</vt:lpwstr>
  </property>
  <property fmtid="{D5CDD505-2E9C-101B-9397-08002B2CF9AE}" pid="4" name="KSOTemplateDocerSaveRecord">
    <vt:lpwstr>eyJoZGlkIjoiZjVlMDI1YmFjY2EzMjYxYzNjODJiZWNmN2MxZGZiOWEiLCJ1c2VySWQiOiI4MzAzODM2MjAifQ==</vt:lpwstr>
  </property>
</Properties>
</file>