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03D43">
      <w:pPr>
        <w:snapToGrid w:val="0"/>
        <w:spacing w:line="579" w:lineRule="exact"/>
        <w:jc w:val="both"/>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附件</w:t>
      </w:r>
    </w:p>
    <w:p w14:paraId="1EC31C27">
      <w:pPr>
        <w:snapToGrid w:val="0"/>
        <w:spacing w:line="579" w:lineRule="exact"/>
        <w:jc w:val="both"/>
        <w:rPr>
          <w:rFonts w:hint="eastAsia" w:ascii="黑体" w:hAnsi="黑体" w:eastAsia="黑体" w:cs="黑体"/>
          <w:color w:val="000000" w:themeColor="text1"/>
          <w:sz w:val="28"/>
          <w:szCs w:val="28"/>
          <w:lang w:val="en-US" w:eastAsia="zh-CN"/>
          <w14:textFill>
            <w14:solidFill>
              <w14:schemeClr w14:val="tx1"/>
            </w14:solidFill>
          </w14:textFill>
        </w:rPr>
      </w:pPr>
    </w:p>
    <w:p w14:paraId="30ADBC19">
      <w:pPr>
        <w:pStyle w:val="2"/>
        <w:keepNext w:val="0"/>
        <w:keepLines w:val="0"/>
        <w:pageBreakBefore w:val="0"/>
        <w:widowControl/>
        <w:suppressLineNumbers w:val="0"/>
        <w:kinsoku/>
        <w:wordWrap/>
        <w:overflowPunct/>
        <w:topLinePunct w:val="0"/>
        <w:autoSpaceDE/>
        <w:autoSpaceDN/>
        <w:bidi w:val="0"/>
        <w:adjustRightInd/>
        <w:snapToGrid w:val="0"/>
        <w:spacing w:beforeAutospacing="0" w:afterAutospacing="0" w:line="460" w:lineRule="exact"/>
        <w:jc w:val="center"/>
        <w:textAlignment w:val="auto"/>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中国工程科技发展战略山西研究院2026年度</w:t>
      </w:r>
    </w:p>
    <w:p w14:paraId="6EBA6D82">
      <w:pPr>
        <w:pStyle w:val="2"/>
        <w:keepNext w:val="0"/>
        <w:keepLines w:val="0"/>
        <w:pageBreakBefore w:val="0"/>
        <w:widowControl/>
        <w:suppressLineNumbers w:val="0"/>
        <w:kinsoku/>
        <w:wordWrap/>
        <w:overflowPunct/>
        <w:topLinePunct w:val="0"/>
        <w:autoSpaceDE/>
        <w:autoSpaceDN/>
        <w:bidi w:val="0"/>
        <w:adjustRightInd/>
        <w:snapToGrid w:val="0"/>
        <w:spacing w:beforeAutospacing="0" w:afterAutospacing="0" w:line="460" w:lineRule="exact"/>
        <w:jc w:val="center"/>
        <w:textAlignment w:val="auto"/>
        <w:rPr>
          <w:rFonts w:hint="eastAsia" w:ascii="方正小标宋简体" w:hAnsi="方正小标宋简体" w:eastAsia="方正小标宋简体" w:cs="方正小标宋简体"/>
          <w:b w:val="0"/>
          <w:bCs w:val="0"/>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战略咨询研究项目申报</w:t>
      </w: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指南</w:t>
      </w:r>
    </w:p>
    <w:p w14:paraId="6D86BC42">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p w14:paraId="21A4114D">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各有关单位：</w:t>
      </w:r>
    </w:p>
    <w:p w14:paraId="3E23B789">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根据</w:t>
      </w:r>
      <w:r>
        <w:rPr>
          <w:rFonts w:hint="eastAsia" w:ascii="仿宋_GB2312" w:hAnsi="仿宋_GB2312" w:eastAsia="仿宋_GB2312" w:cs="仿宋_GB2312"/>
          <w:b w:val="0"/>
          <w:bCs w:val="0"/>
          <w:color w:val="000000" w:themeColor="text1"/>
          <w:sz w:val="32"/>
          <w:szCs w:val="32"/>
          <w14:textFill>
            <w14:solidFill>
              <w14:schemeClr w14:val="tx1"/>
            </w14:solidFill>
          </w14:textFill>
        </w:rPr>
        <w:t>山西省人民政府、中国工程院合作委员会第一次会议部署，</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为</w:t>
      </w:r>
      <w:r>
        <w:rPr>
          <w:rFonts w:hint="eastAsia" w:ascii="仿宋_GB2312" w:hAnsi="仿宋_GB2312" w:eastAsia="仿宋_GB2312" w:cs="仿宋_GB2312"/>
          <w:b w:val="0"/>
          <w:bCs w:val="0"/>
          <w:color w:val="000000" w:themeColor="text1"/>
          <w:sz w:val="32"/>
          <w:szCs w:val="32"/>
          <w14:textFill>
            <w14:solidFill>
              <w14:schemeClr w14:val="tx1"/>
            </w14:solidFill>
          </w14:textFill>
        </w:rPr>
        <w:t>充分发挥中国工程院院士专家智力资源优势，服务山西</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高质量发展，深化全方位转型</w:t>
      </w:r>
      <w:r>
        <w:rPr>
          <w:rFonts w:hint="eastAsia" w:ascii="仿宋_GB2312" w:hAnsi="仿宋_GB2312" w:eastAsia="仿宋_GB2312" w:cs="仿宋_GB2312"/>
          <w:b w:val="0"/>
          <w:bCs w:val="0"/>
          <w:color w:val="000000" w:themeColor="text1"/>
          <w:sz w:val="32"/>
          <w:szCs w:val="32"/>
          <w14:textFill>
            <w14:solidFill>
              <w14:schemeClr w14:val="tx1"/>
            </w14:solidFill>
          </w14:textFill>
        </w:rPr>
        <w:t>，发展新质生产力。依据《中国工程科技发展战略山西研究院章程》《中国工程科技发展战略山西研究院战略咨询研究项目管理办法（试行）》</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b w:val="0"/>
          <w:bCs w:val="0"/>
          <w:color w:val="000000" w:themeColor="text1"/>
          <w:sz w:val="32"/>
          <w:szCs w:val="32"/>
          <w14:textFill>
            <w14:solidFill>
              <w14:schemeClr w14:val="tx1"/>
            </w14:solidFill>
          </w14:textFill>
        </w:rPr>
        <w:t>相关规定，现组织开展2026年度战略咨询研究项目申报工作</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有关事项通知如下：</w:t>
      </w:r>
    </w:p>
    <w:p w14:paraId="7ECCCCE1">
      <w:pPr>
        <w:pStyle w:val="3"/>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一、总体要求</w:t>
      </w:r>
    </w:p>
    <w:p w14:paraId="0D23ED6D">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Style w:val="10"/>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坚持</w:t>
      </w:r>
      <w:r>
        <w:rPr>
          <w:rStyle w:val="10"/>
          <w:rFonts w:hint="eastAsia" w:ascii="仿宋_GB2312" w:hAnsi="仿宋_GB2312" w:eastAsia="仿宋_GB2312" w:cs="仿宋_GB2312"/>
          <w:b w:val="0"/>
          <w:bCs w:val="0"/>
          <w:color w:val="000000" w:themeColor="text1"/>
          <w:sz w:val="32"/>
          <w:szCs w:val="32"/>
          <w14:textFill>
            <w14:solidFill>
              <w14:schemeClr w14:val="tx1"/>
            </w14:solidFill>
          </w14:textFill>
        </w:rPr>
        <w:t>需求牵引、权责明晰、科学公正、整体择优、放管结合、绩效导向</w:t>
      </w:r>
      <w:r>
        <w:rPr>
          <w:rStyle w:val="10"/>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b w:val="0"/>
          <w:bCs w:val="0"/>
          <w:color w:val="000000" w:themeColor="text1"/>
          <w:sz w:val="32"/>
          <w:szCs w:val="32"/>
          <w14:textFill>
            <w14:solidFill>
              <w14:schemeClr w14:val="tx1"/>
            </w14:solidFill>
          </w14:textFill>
        </w:rPr>
        <w:t>原则</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面向</w:t>
      </w:r>
      <w:r>
        <w:rPr>
          <w:rFonts w:hint="eastAsia" w:ascii="仿宋_GB2312" w:hAnsi="仿宋_GB2312" w:eastAsia="仿宋_GB2312" w:cs="仿宋_GB2312"/>
          <w:b w:val="0"/>
          <w:bCs w:val="0"/>
          <w:color w:val="000000" w:themeColor="text1"/>
          <w:sz w:val="32"/>
          <w:szCs w:val="32"/>
          <w14:textFill>
            <w14:solidFill>
              <w14:schemeClr w14:val="tx1"/>
            </w14:solidFill>
          </w14:textFill>
        </w:rPr>
        <w:t>国家重大战略部署和山西发展现实需求，开展前瞻性、针对性、储备性战略咨询研究，为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省委、省政府</w:t>
      </w:r>
      <w:r>
        <w:rPr>
          <w:rFonts w:hint="eastAsia" w:ascii="仿宋_GB2312" w:hAnsi="仿宋_GB2312" w:eastAsia="仿宋_GB2312" w:cs="仿宋_GB2312"/>
          <w:b w:val="0"/>
          <w:bCs w:val="0"/>
          <w:color w:val="000000" w:themeColor="text1"/>
          <w:sz w:val="32"/>
          <w:szCs w:val="32"/>
          <w14:textFill>
            <w14:solidFill>
              <w14:schemeClr w14:val="tx1"/>
            </w14:solidFill>
          </w14:textFill>
        </w:rPr>
        <w:t>提供</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战略</w:t>
      </w:r>
      <w:r>
        <w:rPr>
          <w:rFonts w:hint="eastAsia" w:ascii="仿宋_GB2312" w:hAnsi="仿宋_GB2312" w:eastAsia="仿宋_GB2312" w:cs="仿宋_GB2312"/>
          <w:b w:val="0"/>
          <w:bCs w:val="0"/>
          <w:color w:val="000000" w:themeColor="text1"/>
          <w:sz w:val="32"/>
          <w:szCs w:val="32"/>
          <w14:textFill>
            <w14:solidFill>
              <w14:schemeClr w14:val="tx1"/>
            </w14:solidFill>
          </w14:textFill>
        </w:rPr>
        <w:t>决策支撑。</w:t>
      </w:r>
    </w:p>
    <w:p w14:paraId="12EB99F6">
      <w:pPr>
        <w:pStyle w:val="3"/>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二、项目设置</w:t>
      </w:r>
    </w:p>
    <w:p w14:paraId="0E6AABE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0"/>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w:t>
      </w:r>
      <w:r>
        <w:rPr>
          <w:rStyle w:val="10"/>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一</w:t>
      </w:r>
      <w:r>
        <w:rPr>
          <w:rStyle w:val="10"/>
          <w:rFonts w:hint="eastAsia" w:ascii="楷体_GB2312" w:hAnsi="楷体_GB2312" w:eastAsia="楷体_GB2312" w:cs="楷体_GB2312"/>
          <w:b w:val="0"/>
          <w:bCs w:val="0"/>
          <w:color w:val="000000" w:themeColor="text1"/>
          <w:sz w:val="32"/>
          <w:szCs w:val="32"/>
          <w:lang w:eastAsia="zh-CN"/>
          <w14:textFill>
            <w14:solidFill>
              <w14:schemeClr w14:val="tx1"/>
            </w14:solidFill>
          </w14:textFill>
        </w:rPr>
        <w:t>）</w:t>
      </w:r>
      <w:r>
        <w:rPr>
          <w:rStyle w:val="10"/>
          <w:rFonts w:hint="eastAsia" w:ascii="楷体_GB2312" w:hAnsi="楷体_GB2312" w:eastAsia="楷体_GB2312" w:cs="楷体_GB2312"/>
          <w:b w:val="0"/>
          <w:bCs w:val="0"/>
          <w:color w:val="000000" w:themeColor="text1"/>
          <w:sz w:val="32"/>
          <w:szCs w:val="32"/>
          <w14:textFill>
            <w14:solidFill>
              <w14:schemeClr w14:val="tx1"/>
            </w14:solidFill>
          </w14:textFill>
        </w:rPr>
        <w:t>项目类型</w:t>
      </w:r>
      <w:r>
        <w:rPr>
          <w:rFonts w:hint="eastAsia" w:ascii="楷体_GB2312" w:hAnsi="楷体_GB2312" w:eastAsia="楷体_GB2312" w:cs="楷体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本</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年度项目</w:t>
      </w:r>
      <w:r>
        <w:rPr>
          <w:rFonts w:hint="eastAsia" w:ascii="仿宋_GB2312" w:hAnsi="仿宋_GB2312" w:eastAsia="仿宋_GB2312" w:cs="仿宋_GB2312"/>
          <w:b w:val="0"/>
          <w:bCs w:val="0"/>
          <w:color w:val="000000" w:themeColor="text1"/>
          <w:sz w:val="32"/>
          <w:szCs w:val="32"/>
          <w14:textFill>
            <w14:solidFill>
              <w14:schemeClr w14:val="tx1"/>
            </w14:solidFill>
          </w14:textFill>
        </w:rPr>
        <w:t>申报</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以</w:t>
      </w:r>
      <w:r>
        <w:rPr>
          <w:rFonts w:hint="eastAsia" w:ascii="仿宋_GB2312" w:hAnsi="仿宋_GB2312" w:eastAsia="仿宋_GB2312" w:cs="仿宋_GB2312"/>
          <w:b w:val="0"/>
          <w:bCs w:val="0"/>
          <w:color w:val="000000" w:themeColor="text1"/>
          <w:sz w:val="32"/>
          <w:szCs w:val="32"/>
          <w14:textFill>
            <w14:solidFill>
              <w14:schemeClr w14:val="tx1"/>
            </w14:solidFill>
          </w14:textFill>
        </w:rPr>
        <w:t>重点项目</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为主</w:t>
      </w:r>
      <w:r>
        <w:rPr>
          <w:rFonts w:hint="eastAsia" w:ascii="仿宋_GB2312" w:hAnsi="仿宋_GB2312" w:eastAsia="仿宋_GB2312" w:cs="仿宋_GB2312"/>
          <w:b w:val="0"/>
          <w:bCs w:val="0"/>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专</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题</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项目为辅，</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主要解决</w:t>
      </w:r>
      <w:r>
        <w:rPr>
          <w:rFonts w:hint="eastAsia" w:ascii="仿宋_GB2312" w:hAnsi="仿宋_GB2312" w:eastAsia="仿宋_GB2312" w:cs="仿宋_GB2312"/>
          <w:b w:val="0"/>
          <w:bCs w:val="0"/>
          <w:color w:val="000000" w:themeColor="text1"/>
          <w:sz w:val="32"/>
          <w:szCs w:val="32"/>
          <w14:textFill>
            <w14:solidFill>
              <w14:schemeClr w14:val="tx1"/>
            </w14:solidFill>
          </w14:textFill>
        </w:rPr>
        <w:t>山西省传统产业优化升级、战略性新兴产业集群发展、未来产业前瞻布局</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中</w:t>
      </w:r>
      <w:r>
        <w:rPr>
          <w:rFonts w:hint="eastAsia" w:ascii="仿宋_GB2312" w:hAnsi="仿宋_GB2312" w:eastAsia="仿宋_GB2312" w:cs="仿宋_GB2312"/>
          <w:b w:val="0"/>
          <w:bCs w:val="0"/>
          <w:color w:val="000000" w:themeColor="text1"/>
          <w:sz w:val="32"/>
          <w:szCs w:val="32"/>
          <w14:textFill>
            <w14:solidFill>
              <w14:schemeClr w14:val="tx1"/>
            </w14:solidFill>
          </w14:textFill>
        </w:rPr>
        <w:t>面临的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重大、</w:t>
      </w:r>
      <w:r>
        <w:rPr>
          <w:rFonts w:hint="eastAsia" w:ascii="仿宋_GB2312" w:hAnsi="仿宋_GB2312" w:eastAsia="仿宋_GB2312" w:cs="仿宋_GB2312"/>
          <w:b w:val="0"/>
          <w:bCs w:val="0"/>
          <w:color w:val="000000" w:themeColor="text1"/>
          <w:sz w:val="32"/>
          <w:szCs w:val="32"/>
          <w14:textFill>
            <w14:solidFill>
              <w14:schemeClr w14:val="tx1"/>
            </w14:solidFill>
          </w14:textFill>
        </w:rPr>
        <w:t>重点工程科技问题。</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重点</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资助金额50万元/项，专题项目资助金额20万元/项。重点项目可根据需要下设</w:t>
      </w:r>
      <w:r>
        <w:rPr>
          <w:rFonts w:hint="eastAsia" w:ascii="仿宋_GB2312" w:hAnsi="仿宋_GB2312" w:eastAsia="仿宋_GB2312" w:cs="仿宋_GB2312"/>
          <w:b w:val="0"/>
          <w:bCs w:val="0"/>
          <w:color w:val="000000" w:themeColor="text1"/>
          <w:sz w:val="32"/>
          <w:szCs w:val="32"/>
          <w14:textFill>
            <w14:solidFill>
              <w14:schemeClr w14:val="tx1"/>
            </w14:solidFill>
          </w14:textFill>
        </w:rPr>
        <w:t>课题，课题数量原则上不超过3个。</w:t>
      </w:r>
    </w:p>
    <w:p w14:paraId="16AB91F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0"/>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（二）</w:t>
      </w:r>
      <w:r>
        <w:rPr>
          <w:rStyle w:val="10"/>
          <w:rFonts w:hint="eastAsia" w:ascii="楷体_GB2312" w:hAnsi="楷体_GB2312" w:eastAsia="楷体_GB2312" w:cs="楷体_GB2312"/>
          <w:b w:val="0"/>
          <w:bCs w:val="0"/>
          <w:color w:val="000000" w:themeColor="text1"/>
          <w:sz w:val="32"/>
          <w:szCs w:val="32"/>
          <w:lang w:val="en-US"/>
          <w14:textFill>
            <w14:solidFill>
              <w14:schemeClr w14:val="tx1"/>
            </w14:solidFill>
          </w14:textFill>
        </w:rPr>
        <w:t>实施周期：</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项目实施周期原则上为1年</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确需延期的，可申请延期1次，延长期限不超过半年。</w:t>
      </w:r>
    </w:p>
    <w:p w14:paraId="7295CDA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0"/>
          <w:rFonts w:hint="eastAsia" w:ascii="楷体_GB2312" w:hAnsi="楷体_GB2312" w:eastAsia="楷体_GB2312" w:cs="楷体_GB2312"/>
          <w:b w:val="0"/>
          <w:bCs w:val="0"/>
          <w:color w:val="000000" w:themeColor="text1"/>
          <w:sz w:val="32"/>
          <w:szCs w:val="32"/>
          <w:lang w:val="en-US" w:eastAsia="zh-CN"/>
          <w14:textFill>
            <w14:solidFill>
              <w14:schemeClr w14:val="tx1"/>
            </w14:solidFill>
          </w14:textFill>
        </w:rPr>
        <w:t>（三）</w:t>
      </w:r>
      <w:r>
        <w:rPr>
          <w:rStyle w:val="10"/>
          <w:rFonts w:hint="eastAsia" w:ascii="楷体_GB2312" w:hAnsi="楷体_GB2312" w:eastAsia="楷体_GB2312" w:cs="楷体_GB2312"/>
          <w:b w:val="0"/>
          <w:bCs w:val="0"/>
          <w:color w:val="000000" w:themeColor="text1"/>
          <w:sz w:val="32"/>
          <w:szCs w:val="32"/>
          <w:lang w:val="en-US"/>
          <w14:textFill>
            <w14:solidFill>
              <w14:schemeClr w14:val="tx1"/>
            </w14:solidFill>
          </w14:textFill>
        </w:rPr>
        <w:t>成果验收要求：</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项目研究成果须获国家部委或省领导肯定性批示。通过项目研究</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如促成</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省或省以上</w:t>
      </w:r>
      <w:r>
        <w:rPr>
          <w:rFonts w:hint="eastAsia" w:ascii="仿宋_GB2312" w:hAnsi="仿宋_GB2312" w:eastAsia="仿宋_GB2312" w:cs="仿宋_GB2312"/>
          <w:b w:val="0"/>
          <w:bCs w:val="0"/>
          <w:color w:val="000000" w:themeColor="text1"/>
          <w:sz w:val="32"/>
          <w:szCs w:val="32"/>
          <w14:textFill>
            <w14:solidFill>
              <w14:schemeClr w14:val="tx1"/>
            </w14:solidFill>
          </w14:textFill>
        </w:rPr>
        <w:t>科技项目立项、重大工程落地、重大平台批</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建</w:t>
      </w:r>
      <w:r>
        <w:rPr>
          <w:rFonts w:hint="eastAsia" w:ascii="仿宋_GB2312" w:hAnsi="仿宋_GB2312" w:eastAsia="仿宋_GB2312" w:cs="仿宋_GB2312"/>
          <w:b w:val="0"/>
          <w:bCs w:val="0"/>
          <w:color w:val="000000" w:themeColor="text1"/>
          <w:sz w:val="32"/>
          <w:szCs w:val="32"/>
          <w14:textFill>
            <w14:solidFill>
              <w14:schemeClr w14:val="tx1"/>
            </w14:solidFill>
          </w14:textFill>
        </w:rPr>
        <w:t>等</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b w:val="0"/>
          <w:bCs w:val="0"/>
          <w:color w:val="000000" w:themeColor="text1"/>
          <w:sz w:val="32"/>
          <w:szCs w:val="32"/>
          <w14:textFill>
            <w14:solidFill>
              <w14:schemeClr w14:val="tx1"/>
            </w14:solidFill>
          </w14:textFill>
        </w:rPr>
        <w:t>标志性成果的，经专家</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论证</w:t>
      </w:r>
      <w:r>
        <w:rPr>
          <w:rFonts w:hint="eastAsia" w:ascii="仿宋_GB2312" w:hAnsi="仿宋_GB2312" w:eastAsia="仿宋_GB2312" w:cs="仿宋_GB2312"/>
          <w:b w:val="0"/>
          <w:bCs w:val="0"/>
          <w:color w:val="000000" w:themeColor="text1"/>
          <w:sz w:val="32"/>
          <w:szCs w:val="32"/>
          <w14:textFill>
            <w14:solidFill>
              <w14:schemeClr w14:val="tx1"/>
            </w14:solidFill>
          </w14:textFill>
        </w:rPr>
        <w:t>可直接验收。项目须形成完整研究报告、调研报告和咨询建议等。</w:t>
      </w:r>
    </w:p>
    <w:p w14:paraId="60484014">
      <w:pPr>
        <w:pStyle w:val="3"/>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三、申报条件</w:t>
      </w:r>
    </w:p>
    <w:p w14:paraId="3CDE44A2">
      <w:pPr>
        <w:pStyle w:val="4"/>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textAlignment w:val="auto"/>
        <w:rPr>
          <w:rStyle w:val="10"/>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Style w:val="10"/>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（一）项目负责人</w:t>
      </w:r>
    </w:p>
    <w:p w14:paraId="15907E7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1.</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项目负责人原则上应具备</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高级技术职称</w:t>
      </w:r>
      <w:r>
        <w:rPr>
          <w:rFonts w:hint="eastAsia" w:ascii="仿宋_GB2312" w:hAnsi="仿宋_GB2312" w:eastAsia="仿宋_GB2312" w:cs="仿宋_GB2312"/>
          <w:b w:val="0"/>
          <w:bCs w:val="0"/>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且具有丰富工程科技实践和战略咨询经验，</w:t>
      </w:r>
      <w:r>
        <w:rPr>
          <w:rFonts w:hint="eastAsia" w:ascii="仿宋_GB2312" w:hAnsi="仿宋_GB2312" w:eastAsia="仿宋_GB2312" w:cs="仿宋_GB2312"/>
          <w:b w:val="0"/>
          <w:bCs w:val="0"/>
          <w:color w:val="000000" w:themeColor="text1"/>
          <w:sz w:val="32"/>
          <w:szCs w:val="32"/>
          <w14:textFill>
            <w14:solidFill>
              <w14:schemeClr w14:val="tx1"/>
            </w14:solidFill>
          </w14:textFill>
        </w:rPr>
        <w:t>鼓励两院院士牵头组织申报</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项目负责人须为实际主持项目研究人员，实质性投入研究工作，严禁挂名。</w:t>
      </w:r>
    </w:p>
    <w:p w14:paraId="4D26BC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同一申请人牵头战略咨询项目数量不超过1项。存在</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既往</w:t>
      </w:r>
      <w:r>
        <w:rPr>
          <w:rFonts w:hint="eastAsia" w:ascii="仿宋_GB2312" w:hAnsi="仿宋_GB2312" w:eastAsia="仿宋_GB2312" w:cs="仿宋_GB2312"/>
          <w:b w:val="0"/>
          <w:bCs w:val="0"/>
          <w:color w:val="000000" w:themeColor="text1"/>
          <w:sz w:val="32"/>
          <w:szCs w:val="32"/>
          <w14:textFill>
            <w14:solidFill>
              <w14:schemeClr w14:val="tx1"/>
            </w14:solidFill>
          </w14:textFill>
        </w:rPr>
        <w:t>立项项目逾期未结、整改尚未完成情形的，不得申报本年度项目。</w:t>
      </w:r>
    </w:p>
    <w:p w14:paraId="22CF8A4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项目负责人及团队成员科研信用状况良好，无尚在惩戒期内的科研失信记录。</w:t>
      </w:r>
    </w:p>
    <w:p w14:paraId="1BDA1E01">
      <w:pPr>
        <w:pStyle w:val="4"/>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jc w:val="left"/>
        <w:textAlignment w:val="auto"/>
        <w:rPr>
          <w:rStyle w:val="10"/>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Style w:val="10"/>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（二）项目承担单位</w:t>
      </w:r>
    </w:p>
    <w:p w14:paraId="06D8A75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1.</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项目</w:t>
      </w:r>
      <w:r>
        <w:rPr>
          <w:rFonts w:hint="eastAsia" w:ascii="仿宋_GB2312" w:hAnsi="仿宋_GB2312" w:eastAsia="仿宋_GB2312" w:cs="仿宋_GB2312"/>
          <w:b w:val="0"/>
          <w:bCs w:val="0"/>
          <w:color w:val="000000" w:themeColor="text1"/>
          <w:sz w:val="32"/>
          <w:szCs w:val="32"/>
          <w14:textFill>
            <w14:solidFill>
              <w14:schemeClr w14:val="tx1"/>
            </w14:solidFill>
          </w14:textFill>
        </w:rPr>
        <w:t>承担单位</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应为中国大陆境内注册的科研院所、高等学校和企事业单位等，具有</w:t>
      </w:r>
      <w:r>
        <w:rPr>
          <w:rFonts w:hint="eastAsia" w:ascii="仿宋_GB2312" w:hAnsi="仿宋_GB2312" w:eastAsia="仿宋_GB2312" w:cs="仿宋_GB2312"/>
          <w:b w:val="0"/>
          <w:bCs w:val="0"/>
          <w:color w:val="000000" w:themeColor="text1"/>
          <w:sz w:val="32"/>
          <w:szCs w:val="32"/>
          <w14:textFill>
            <w14:solidFill>
              <w14:schemeClr w14:val="tx1"/>
            </w14:solidFill>
          </w14:textFill>
        </w:rPr>
        <w:t>开展</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科研活动的良好基础，有与项目实施相匹配的条件、研发经费投入、健全的科研管理制度和财务管理制度等。山西</w:t>
      </w:r>
      <w:r>
        <w:rPr>
          <w:rFonts w:hint="eastAsia" w:ascii="仿宋_GB2312" w:hAnsi="仿宋_GB2312" w:eastAsia="仿宋_GB2312" w:cs="仿宋_GB2312"/>
          <w:b w:val="0"/>
          <w:bCs w:val="0"/>
          <w:color w:val="000000" w:themeColor="text1"/>
          <w:sz w:val="32"/>
          <w:szCs w:val="32"/>
          <w14:textFill>
            <w14:solidFill>
              <w14:schemeClr w14:val="tx1"/>
            </w14:solidFill>
          </w14:textFill>
        </w:rPr>
        <w:t>省外单位牵头申报，须联合省内单位</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共同实施。</w:t>
      </w:r>
    </w:p>
    <w:p w14:paraId="47D44F6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项目负责人为院士的，承担单位原则上应为该院士人事关系所在单位。确因研究工作需要选用其他单位作为承担主体的，申报时须提交书面申请并详实说明理由。</w:t>
      </w:r>
    </w:p>
    <w:p w14:paraId="5DEB227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3.</w:t>
      </w:r>
      <w:r>
        <w:rPr>
          <w:rFonts w:hint="eastAsia" w:ascii="仿宋_GB2312" w:hAnsi="仿宋_GB2312" w:eastAsia="仿宋_GB2312" w:cs="仿宋_GB2312"/>
          <w:b w:val="0"/>
          <w:bCs w:val="0"/>
          <w:color w:val="000000" w:themeColor="text1"/>
          <w:sz w:val="32"/>
          <w:szCs w:val="32"/>
          <w14:textFill>
            <w14:solidFill>
              <w14:schemeClr w14:val="tx1"/>
            </w14:solidFill>
          </w14:textFill>
        </w:rPr>
        <w:t>同一单位牵头战略咨询项目数量原则上不超过</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项。</w:t>
      </w:r>
    </w:p>
    <w:p w14:paraId="346A009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w:t>
      </w: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w:t>
      </w:r>
      <w:r>
        <w:rPr>
          <w:rFonts w:hint="eastAsia" w:ascii="仿宋_GB2312" w:hAnsi="仿宋_GB2312" w:eastAsia="仿宋_GB2312" w:cs="仿宋_GB2312"/>
          <w:b w:val="0"/>
          <w:bCs w:val="0"/>
          <w:color w:val="000000" w:themeColor="text1"/>
          <w:sz w:val="32"/>
          <w:szCs w:val="32"/>
          <w14:textFill>
            <w14:solidFill>
              <w14:schemeClr w14:val="tx1"/>
            </w14:solidFill>
          </w14:textFill>
        </w:rPr>
        <w:t>严禁多头、重复申报。研究内容相同或高度相近，已获得其他省级及以上财政经费支持的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项目</w:t>
      </w:r>
      <w:r>
        <w:rPr>
          <w:rFonts w:hint="eastAsia" w:ascii="仿宋_GB2312" w:hAnsi="仿宋_GB2312" w:eastAsia="仿宋_GB2312" w:cs="仿宋_GB2312"/>
          <w:b w:val="0"/>
          <w:bCs w:val="0"/>
          <w:color w:val="000000" w:themeColor="text1"/>
          <w:sz w:val="32"/>
          <w:szCs w:val="32"/>
          <w14:textFill>
            <w14:solidFill>
              <w14:schemeClr w14:val="tx1"/>
            </w14:solidFill>
          </w14:textFill>
        </w:rPr>
        <w:t>，不得申报。</w:t>
      </w:r>
    </w:p>
    <w:p w14:paraId="47794E61">
      <w:pPr>
        <w:pStyle w:val="4"/>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jc w:val="left"/>
        <w:textAlignment w:val="auto"/>
        <w:rPr>
          <w:rStyle w:val="10"/>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pPr>
      <w:r>
        <w:rPr>
          <w:rStyle w:val="10"/>
          <w:rFonts w:hint="default"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w:t>
      </w:r>
      <w:r>
        <w:rPr>
          <w:rStyle w:val="10"/>
          <w:rFonts w:hint="eastAsia"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三</w:t>
      </w:r>
      <w:r>
        <w:rPr>
          <w:rStyle w:val="10"/>
          <w:rFonts w:hint="default" w:ascii="楷体_GB2312" w:hAnsi="楷体_GB2312" w:eastAsia="楷体_GB2312" w:cs="楷体_GB2312"/>
          <w:b w:val="0"/>
          <w:bCs w:val="0"/>
          <w:color w:val="000000" w:themeColor="text1"/>
          <w:kern w:val="2"/>
          <w:sz w:val="32"/>
          <w:szCs w:val="32"/>
          <w:lang w:val="en-US" w:eastAsia="zh-CN" w:bidi="ar-SA"/>
          <w14:textFill>
            <w14:solidFill>
              <w14:schemeClr w14:val="tx1"/>
            </w14:solidFill>
          </w14:textFill>
        </w:rPr>
        <w:t>）全面实施科研诚信承诺制</w:t>
      </w:r>
    </w:p>
    <w:p w14:paraId="3A57D69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科研诚信要求贯穿项目申报与组织实施的全过程</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申报单位和申报人均须</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签字盖章</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，对项目申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请</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书（含附件材料）所有内容的真实性、准确性负责。</w:t>
      </w:r>
    </w:p>
    <w:p w14:paraId="79D0730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黑体" w:hAnsi="黑体" w:eastAsia="黑体" w:cs="黑体"/>
          <w:b w:val="0"/>
          <w:bCs w:val="0"/>
          <w:color w:val="000000" w:themeColor="text1"/>
          <w:sz w:val="32"/>
          <w:szCs w:val="32"/>
          <w:lang w:eastAsia="zh-CN"/>
          <w14:textFill>
            <w14:solidFill>
              <w14:schemeClr w14:val="tx1"/>
            </w14:solidFill>
          </w14:textFill>
        </w:rPr>
      </w:pPr>
      <w:r>
        <w:rPr>
          <w:rFonts w:hint="eastAsia" w:ascii="黑体" w:hAnsi="黑体" w:eastAsia="黑体" w:cs="黑体"/>
          <w:b w:val="0"/>
          <w:bCs w:val="0"/>
          <w:color w:val="000000" w:themeColor="text1"/>
          <w:sz w:val="32"/>
          <w:szCs w:val="32"/>
          <w14:textFill>
            <w14:solidFill>
              <w14:schemeClr w14:val="tx1"/>
            </w14:solidFill>
          </w14:textFill>
        </w:rPr>
        <w:t>四</w:t>
      </w:r>
      <w:r>
        <w:rPr>
          <w:rFonts w:hint="eastAsia" w:ascii="黑体" w:hAnsi="黑体" w:eastAsia="黑体" w:cs="黑体"/>
          <w:b w:val="0"/>
          <w:bCs w:val="0"/>
          <w:color w:val="000000" w:themeColor="text1"/>
          <w:sz w:val="32"/>
          <w:szCs w:val="32"/>
          <w:lang w:eastAsia="zh-CN"/>
          <w14:textFill>
            <w14:solidFill>
              <w14:schemeClr w14:val="tx1"/>
            </w14:solidFill>
          </w14:textFill>
        </w:rPr>
        <w:t>、</w:t>
      </w:r>
      <w:r>
        <w:rPr>
          <w:rFonts w:hint="eastAsia" w:ascii="黑体" w:hAnsi="黑体" w:eastAsia="黑体" w:cs="黑体"/>
          <w:b w:val="0"/>
          <w:bCs w:val="0"/>
          <w:color w:val="000000" w:themeColor="text1"/>
          <w:sz w:val="32"/>
          <w:szCs w:val="32"/>
          <w14:textFill>
            <w14:solidFill>
              <w14:schemeClr w14:val="tx1"/>
            </w14:solidFill>
          </w14:textFill>
        </w:rPr>
        <w:t>选题</w:t>
      </w:r>
      <w:r>
        <w:rPr>
          <w:rFonts w:hint="eastAsia" w:ascii="黑体" w:hAnsi="黑体" w:eastAsia="黑体" w:cs="黑体"/>
          <w:b w:val="0"/>
          <w:bCs w:val="0"/>
          <w:color w:val="000000" w:themeColor="text1"/>
          <w:sz w:val="32"/>
          <w:szCs w:val="32"/>
          <w:lang w:val="en-US" w:eastAsia="zh-CN"/>
          <w14:textFill>
            <w14:solidFill>
              <w14:schemeClr w14:val="tx1"/>
            </w14:solidFill>
          </w14:textFill>
        </w:rPr>
        <w:t>详情</w:t>
      </w:r>
    </w:p>
    <w:p w14:paraId="1228E2CF">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本年度咨询项目申报研究方向请参照《中国工程科技发展战略山西研究院2026年度战略咨询项目选题》（附件）。</w:t>
      </w:r>
    </w:p>
    <w:p w14:paraId="220EFE58">
      <w:pPr>
        <w:pStyle w:val="3"/>
        <w:keepNext w:val="0"/>
        <w:keepLines w:val="0"/>
        <w:pageBreakBefore w:val="0"/>
        <w:widowControl/>
        <w:numPr>
          <w:ilvl w:val="0"/>
          <w:numId w:val="1"/>
        </w:numPr>
        <w:suppressLineNumbers w:val="0"/>
        <w:kinsoku/>
        <w:wordWrap/>
        <w:overflowPunct/>
        <w:topLinePunct w:val="0"/>
        <w:autoSpaceDE/>
        <w:autoSpaceDN/>
        <w:bidi w:val="0"/>
        <w:adjustRightInd/>
        <w:snapToGrid w:val="0"/>
        <w:spacing w:beforeAutospacing="0" w:afterAutospacing="0" w:line="579" w:lineRule="exact"/>
        <w:ind w:firstLine="640" w:firstLineChars="200"/>
        <w:jc w:val="left"/>
        <w:textAlignment w:val="auto"/>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申报流程</w:t>
      </w:r>
    </w:p>
    <w:p w14:paraId="084C516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申报人进入“山西省科技计划管理信息系统”完成所有申报信息填报，网址为https://kjjh.kj15331.cn/stpmmp/</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新用户需先进行单位管理员注册，再完成个人注册</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14:textFill>
            <w14:solidFill>
              <w14:schemeClr w14:val="tx1"/>
            </w14:solidFill>
          </w14:textFill>
        </w:rPr>
        <w:t>且须在受理期内完成提交。请合理安排申报时间，避免在截止日前高峰时段提交信息。</w:t>
      </w:r>
    </w:p>
    <w:p w14:paraId="26B3B51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完成在线申报并经过项目</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申报</w:t>
      </w:r>
      <w:r>
        <w:rPr>
          <w:rFonts w:hint="default" w:ascii="仿宋_GB2312" w:hAnsi="仿宋_GB2312" w:eastAsia="仿宋_GB2312" w:cs="仿宋_GB2312"/>
          <w:b w:val="0"/>
          <w:bCs w:val="0"/>
          <w:color w:val="000000" w:themeColor="text1"/>
          <w:sz w:val="32"/>
          <w:szCs w:val="32"/>
          <w14:textFill>
            <w14:solidFill>
              <w14:schemeClr w14:val="tx1"/>
            </w14:solidFill>
          </w14:textFill>
        </w:rPr>
        <w:t>单位审核后，在系统下载打印申报材料（双面打印</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3</w:t>
      </w:r>
      <w:r>
        <w:rPr>
          <w:rFonts w:hint="default" w:ascii="仿宋_GB2312" w:hAnsi="仿宋_GB2312" w:eastAsia="仿宋_GB2312" w:cs="仿宋_GB2312"/>
          <w:b w:val="0"/>
          <w:bCs w:val="0"/>
          <w:color w:val="000000" w:themeColor="text1"/>
          <w:sz w:val="32"/>
          <w:szCs w:val="32"/>
          <w14:textFill>
            <w14:solidFill>
              <w14:schemeClr w14:val="tx1"/>
            </w14:solidFill>
          </w14:textFill>
        </w:rPr>
        <w:t>份），按要求签字盖章后报送至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中国工程科技发展战略山西研究院</w:t>
      </w:r>
      <w:r>
        <w:rPr>
          <w:rFonts w:hint="default" w:ascii="仿宋_GB2312" w:hAnsi="仿宋_GB2312" w:eastAsia="仿宋_GB2312" w:cs="仿宋_GB2312"/>
          <w:b w:val="0"/>
          <w:bCs w:val="0"/>
          <w:color w:val="000000" w:themeColor="text1"/>
          <w:sz w:val="32"/>
          <w:szCs w:val="32"/>
          <w14:textFill>
            <w14:solidFill>
              <w14:schemeClr w14:val="tx1"/>
            </w14:solidFill>
          </w14:textFill>
        </w:rPr>
        <w:t>。</w:t>
      </w:r>
    </w:p>
    <w:p w14:paraId="69AE2911">
      <w:pPr>
        <w:pStyle w:val="3"/>
        <w:keepNext w:val="0"/>
        <w:keepLines w:val="0"/>
        <w:pageBreakBefore w:val="0"/>
        <w:widowControl/>
        <w:numPr>
          <w:ilvl w:val="0"/>
          <w:numId w:val="1"/>
        </w:numPr>
        <w:suppressLineNumbers w:val="0"/>
        <w:kinsoku/>
        <w:wordWrap/>
        <w:overflowPunct/>
        <w:topLinePunct w:val="0"/>
        <w:autoSpaceDE/>
        <w:autoSpaceDN/>
        <w:bidi w:val="0"/>
        <w:adjustRightInd/>
        <w:snapToGrid w:val="0"/>
        <w:spacing w:beforeAutospacing="0" w:afterAutospacing="0" w:line="579" w:lineRule="exact"/>
        <w:ind w:firstLine="640" w:firstLineChars="200"/>
        <w:jc w:val="left"/>
        <w:textAlignment w:val="auto"/>
        <w:rPr>
          <w:rFonts w:hint="default" w:ascii="黑体" w:hAnsi="黑体" w:eastAsia="黑体" w:cs="黑体"/>
          <w:b w:val="0"/>
          <w:bCs w:val="0"/>
          <w:color w:val="000000" w:themeColor="text1"/>
          <w:kern w:val="2"/>
          <w:sz w:val="32"/>
          <w:szCs w:val="32"/>
          <w:lang w:val="en-US" w:eastAsia="zh-CN" w:bidi="ar-SA"/>
          <w14:textFill>
            <w14:solidFill>
              <w14:schemeClr w14:val="tx1"/>
            </w14:solidFill>
          </w14:textFill>
        </w:rPr>
      </w:pPr>
      <w:r>
        <w:rPr>
          <w:rFonts w:hint="default" w:ascii="黑体" w:hAnsi="黑体" w:eastAsia="黑体" w:cs="黑体"/>
          <w:b w:val="0"/>
          <w:bCs w:val="0"/>
          <w:color w:val="000000" w:themeColor="text1"/>
          <w:kern w:val="2"/>
          <w:sz w:val="32"/>
          <w:szCs w:val="32"/>
          <w:lang w:val="en-US" w:eastAsia="zh-CN" w:bidi="ar-SA"/>
          <w14:textFill>
            <w14:solidFill>
              <w14:schemeClr w14:val="tx1"/>
            </w14:solidFill>
          </w14:textFill>
        </w:rPr>
        <w:t>其他事项</w:t>
      </w:r>
    </w:p>
    <w:p w14:paraId="3F14649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（一）在项目申报阶段，各相关单位及人员须严格按照要求在规定时间内完成对应工作，逾期不予受理。受理截止时间如下：</w:t>
      </w:r>
    </w:p>
    <w:p w14:paraId="33E1069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申报人线上填报截止时间：2026年</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11</w:t>
      </w:r>
      <w:r>
        <w:rPr>
          <w:rFonts w:hint="default" w:ascii="仿宋_GB2312" w:hAnsi="仿宋_GB2312" w:eastAsia="仿宋_GB2312" w:cs="仿宋_GB2312"/>
          <w:b w:val="0"/>
          <w:bCs w:val="0"/>
          <w:color w:val="000000" w:themeColor="text1"/>
          <w:sz w:val="32"/>
          <w:szCs w:val="32"/>
          <w14:textFill>
            <w14:solidFill>
              <w14:schemeClr w14:val="tx1"/>
            </w14:solidFill>
          </w14:textFill>
        </w:rPr>
        <w:t>月</w:t>
      </w: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16</w:t>
      </w:r>
      <w:r>
        <w:rPr>
          <w:rFonts w:hint="default" w:ascii="仿宋_GB2312" w:hAnsi="仿宋_GB2312" w:eastAsia="仿宋_GB2312" w:cs="仿宋_GB2312"/>
          <w:b w:val="0"/>
          <w:bCs w:val="0"/>
          <w:color w:val="000000" w:themeColor="text1"/>
          <w:sz w:val="32"/>
          <w:szCs w:val="32"/>
          <w14:textFill>
            <w14:solidFill>
              <w14:schemeClr w14:val="tx1"/>
            </w14:solidFill>
          </w14:textFill>
        </w:rPr>
        <w:t>日17:00</w:t>
      </w:r>
    </w:p>
    <w:p w14:paraId="7937D36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申报单位线上审核截止时间：2026年1</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default" w:ascii="仿宋_GB2312" w:hAnsi="仿宋_GB2312" w:eastAsia="仿宋_GB2312" w:cs="仿宋_GB2312"/>
          <w:b w:val="0"/>
          <w:bCs w:val="0"/>
          <w:color w:val="000000" w:themeColor="text1"/>
          <w:sz w:val="32"/>
          <w:szCs w:val="32"/>
          <w14:textFill>
            <w14:solidFill>
              <w14:schemeClr w14:val="tx1"/>
            </w14:solidFill>
          </w14:textFill>
        </w:rPr>
        <w:t>月</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18</w:t>
      </w:r>
      <w:r>
        <w:rPr>
          <w:rFonts w:hint="default" w:ascii="仿宋_GB2312" w:hAnsi="仿宋_GB2312" w:eastAsia="仿宋_GB2312" w:cs="仿宋_GB2312"/>
          <w:b w:val="0"/>
          <w:bCs w:val="0"/>
          <w:color w:val="000000" w:themeColor="text1"/>
          <w:sz w:val="32"/>
          <w:szCs w:val="32"/>
          <w14:textFill>
            <w14:solidFill>
              <w14:schemeClr w14:val="tx1"/>
            </w14:solidFill>
          </w14:textFill>
        </w:rPr>
        <w:t>日17:00</w:t>
      </w:r>
    </w:p>
    <w:p w14:paraId="6C600311">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纸质材料受理截止时间：2026年1</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hint="default" w:ascii="仿宋_GB2312" w:hAnsi="仿宋_GB2312" w:eastAsia="仿宋_GB2312" w:cs="仿宋_GB2312"/>
          <w:b w:val="0"/>
          <w:bCs w:val="0"/>
          <w:color w:val="000000" w:themeColor="text1"/>
          <w:sz w:val="32"/>
          <w:szCs w:val="32"/>
          <w14:textFill>
            <w14:solidFill>
              <w14:schemeClr w14:val="tx1"/>
            </w14:solidFill>
          </w14:textFill>
        </w:rPr>
        <w:t>月</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20</w:t>
      </w:r>
      <w:r>
        <w:rPr>
          <w:rFonts w:hint="default" w:ascii="仿宋_GB2312" w:hAnsi="仿宋_GB2312" w:eastAsia="仿宋_GB2312" w:cs="仿宋_GB2312"/>
          <w:b w:val="0"/>
          <w:bCs w:val="0"/>
          <w:color w:val="000000" w:themeColor="text1"/>
          <w:sz w:val="32"/>
          <w:szCs w:val="32"/>
          <w14:textFill>
            <w14:solidFill>
              <w14:schemeClr w14:val="tx1"/>
            </w14:solidFill>
          </w14:textFill>
        </w:rPr>
        <w:t>日17:00</w:t>
      </w:r>
    </w:p>
    <w:p w14:paraId="36EB623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（二）系统将在受理截止时间关闭，系统关闭后，任何单位和个人不得修改、补充申报材料。2026年度拟立项项目将</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在系统通知公告栏进行</w:t>
      </w:r>
      <w:r>
        <w:rPr>
          <w:rFonts w:hint="default" w:ascii="仿宋_GB2312" w:hAnsi="仿宋_GB2312" w:eastAsia="仿宋_GB2312" w:cs="仿宋_GB2312"/>
          <w:b w:val="0"/>
          <w:bCs w:val="0"/>
          <w:color w:val="000000" w:themeColor="text1"/>
          <w:sz w:val="32"/>
          <w:szCs w:val="32"/>
          <w14:textFill>
            <w14:solidFill>
              <w14:schemeClr w14:val="tx1"/>
            </w14:solidFill>
          </w14:textFill>
        </w:rPr>
        <w:t>公示，未立项项目不再另行通知。</w:t>
      </w:r>
    </w:p>
    <w:p w14:paraId="1E0E8CF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三</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default" w:ascii="仿宋_GB2312" w:hAnsi="仿宋_GB2312" w:eastAsia="仿宋_GB2312" w:cs="仿宋_GB2312"/>
          <w:b w:val="0"/>
          <w:bCs w:val="0"/>
          <w:color w:val="000000" w:themeColor="text1"/>
          <w:sz w:val="32"/>
          <w:szCs w:val="32"/>
          <w14:textFill>
            <w14:solidFill>
              <w14:schemeClr w14:val="tx1"/>
            </w14:solidFill>
          </w14:textFill>
        </w:rPr>
        <w:t>材料受理及服务电话</w:t>
      </w:r>
    </w:p>
    <w:p w14:paraId="7EE9F38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1.业务咨询及纸质材料受理</w:t>
      </w:r>
    </w:p>
    <w:p w14:paraId="331BB1A3">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联系人：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许莹</w:t>
      </w:r>
    </w:p>
    <w:p w14:paraId="258EE70C">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联系电话：</w:t>
      </w: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0351--4085113</w:t>
      </w:r>
    </w:p>
    <w:p w14:paraId="44E4AF5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地址：太原市滨河西路南段129号双创基地A座1019室</w:t>
      </w:r>
    </w:p>
    <w:p w14:paraId="6CF3ACB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2.网络申报技术支持</w:t>
      </w:r>
    </w:p>
    <w:p w14:paraId="3AA5BAC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联系人：山西省信息产业技术研究院有限公司 王志文</w:t>
      </w:r>
    </w:p>
    <w:p w14:paraId="60BFCB9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ind w:firstLine="640" w:firstLineChars="200"/>
        <w:textAlignment w:val="auto"/>
        <w:rPr>
          <w:rFonts w:hint="default" w:ascii="仿宋_GB2312" w:hAnsi="仿宋_GB2312" w:eastAsia="仿宋_GB2312" w:cs="仿宋_GB2312"/>
          <w:b w:val="0"/>
          <w:bCs w:val="0"/>
          <w:color w:val="000000" w:themeColor="text1"/>
          <w:sz w:val="32"/>
          <w:szCs w:val="32"/>
          <w14:textFill>
            <w14:solidFill>
              <w14:schemeClr w14:val="tx1"/>
            </w14:solidFill>
          </w14:textFill>
        </w:rPr>
      </w:pPr>
      <w:r>
        <w:rPr>
          <w:rFonts w:hint="default" w:ascii="仿宋_GB2312" w:hAnsi="仿宋_GB2312" w:eastAsia="仿宋_GB2312" w:cs="仿宋_GB2312"/>
          <w:b w:val="0"/>
          <w:bCs w:val="0"/>
          <w:color w:val="000000" w:themeColor="text1"/>
          <w:sz w:val="32"/>
          <w:szCs w:val="32"/>
          <w14:textFill>
            <w14:solidFill>
              <w14:schemeClr w14:val="tx1"/>
            </w14:solidFill>
          </w14:textFill>
        </w:rPr>
        <w:t>联系电话：0351-8065503、0351-7199808</w:t>
      </w:r>
    </w:p>
    <w:p w14:paraId="3133C44F">
      <w:pPr>
        <w:pStyle w:val="3"/>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jc w:val="left"/>
        <w:textAlignment w:val="auto"/>
        <w:rPr>
          <w:rFonts w:hint="eastAsia" w:ascii="黑体" w:hAnsi="黑体" w:eastAsia="黑体" w:cs="黑体"/>
          <w:b w:val="0"/>
          <w:bCs w:val="0"/>
          <w:color w:val="000000" w:themeColor="text1"/>
          <w:sz w:val="32"/>
          <w:szCs w:val="32"/>
          <w14:textFill>
            <w14:solidFill>
              <w14:schemeClr w14:val="tx1"/>
            </w14:solidFill>
          </w14:textFill>
        </w:rPr>
      </w:pPr>
    </w:p>
    <w:p w14:paraId="04A44C9F">
      <w:pPr>
        <w:pStyle w:val="3"/>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ind w:left="1598" w:leftChars="304" w:hanging="960" w:hangingChars="300"/>
        <w:jc w:val="left"/>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附件：中国工程科技发展战略山西研究院2026年度战略咨询项目选题（附后）</w:t>
      </w:r>
    </w:p>
    <w:p w14:paraId="78645CC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579" w:lineRule="exact"/>
        <w:textAlignment w:val="auto"/>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p>
    <w:p w14:paraId="114DE0C9">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p>
    <w:p w14:paraId="79F9C676">
      <w:pPr>
        <w:pStyle w:val="7"/>
        <w:keepNext w:val="0"/>
        <w:keepLines w:val="0"/>
        <w:pageBreakBefore w:val="0"/>
        <w:widowControl/>
        <w:suppressLineNumbers w:val="0"/>
        <w:kinsoku/>
        <w:wordWrap/>
        <w:overflowPunct/>
        <w:topLinePunct w:val="0"/>
        <w:autoSpaceDE/>
        <w:autoSpaceDN/>
        <w:bidi w:val="0"/>
        <w:adjustRightInd/>
        <w:snapToGrid w:val="0"/>
        <w:spacing w:beforeAutospacing="0" w:afterAutospacing="0" w:line="579" w:lineRule="exact"/>
        <w:jc w:val="right"/>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中国工程科技发展战略山西研究院</w:t>
      </w:r>
    </w:p>
    <w:p w14:paraId="1AD7F17C">
      <w:pPr>
        <w:pStyle w:val="7"/>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579" w:lineRule="exact"/>
        <w:jc w:val="right"/>
        <w:textAlignment w:val="auto"/>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2026年</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b w:val="0"/>
          <w:bCs w:val="0"/>
          <w:color w:val="000000" w:themeColor="text1"/>
          <w:sz w:val="32"/>
          <w:szCs w:val="32"/>
          <w14:textFill>
            <w14:solidFill>
              <w14:schemeClr w14:val="tx1"/>
            </w14:solidFill>
          </w14:textFill>
        </w:rPr>
        <w:t>月</w:t>
      </w: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2</w:t>
      </w:r>
      <w:r>
        <w:rPr>
          <w:rFonts w:hint="eastAsia" w:ascii="仿宋_GB2312" w:hAnsi="仿宋_GB2312" w:eastAsia="仿宋_GB2312" w:cs="仿宋_GB2312"/>
          <w:b w:val="0"/>
          <w:bCs w:val="0"/>
          <w:color w:val="000000" w:themeColor="text1"/>
          <w:sz w:val="32"/>
          <w:szCs w:val="32"/>
          <w14:textFill>
            <w14:solidFill>
              <w14:schemeClr w14:val="tx1"/>
            </w14:solidFill>
          </w14:textFill>
        </w:rPr>
        <w:t>日</w:t>
      </w: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 xml:space="preserve">   </w:t>
      </w:r>
    </w:p>
    <w:p w14:paraId="6CF05B13">
      <w:pP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pPr>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br w:type="page"/>
      </w:r>
    </w:p>
    <w:p w14:paraId="03BB1613">
      <w:pPr>
        <w:spacing w:before="312" w:beforeLines="100" w:line="560" w:lineRule="exact"/>
        <w:jc w:val="center"/>
        <w:rPr>
          <w:rFonts w:ascii="方正小标宋简体" w:hAnsi="宋体" w:eastAsia="方正小标宋简体" w:cs="方正小标宋简体"/>
          <w:bCs/>
          <w:sz w:val="44"/>
          <w:szCs w:val="44"/>
        </w:rPr>
      </w:pPr>
      <w:r>
        <w:rPr>
          <w:rFonts w:hint="eastAsia" w:ascii="方正小标宋简体" w:hAnsi="宋体" w:eastAsia="方正小标宋简体" w:cs="方正小标宋简体"/>
          <w:bCs/>
          <w:sz w:val="44"/>
          <w:szCs w:val="44"/>
        </w:rPr>
        <w:t>中国</w:t>
      </w:r>
      <w:r>
        <w:rPr>
          <w:rFonts w:ascii="方正小标宋简体" w:hAnsi="宋体" w:eastAsia="方正小标宋简体" w:cs="方正小标宋简体"/>
          <w:bCs/>
          <w:sz w:val="44"/>
          <w:szCs w:val="44"/>
        </w:rPr>
        <w:t>工程科技发展战略</w:t>
      </w:r>
      <w:r>
        <w:rPr>
          <w:rFonts w:hint="eastAsia" w:ascii="方正小标宋简体" w:hAnsi="宋体" w:eastAsia="方正小标宋简体" w:cs="方正小标宋简体"/>
          <w:bCs/>
          <w:sz w:val="44"/>
          <w:szCs w:val="44"/>
        </w:rPr>
        <w:t>山西研究院</w:t>
      </w:r>
    </w:p>
    <w:p w14:paraId="301B9E7C">
      <w:pPr>
        <w:spacing w:after="312" w:afterLines="100" w:line="560" w:lineRule="exact"/>
        <w:jc w:val="center"/>
        <w:rPr>
          <w:rFonts w:ascii="仿宋_GB2312" w:hAnsi="仿宋_GB2312" w:eastAsia="仿宋_GB2312" w:cs="仿宋_GB2312"/>
          <w:sz w:val="32"/>
          <w:szCs w:val="40"/>
        </w:rPr>
      </w:pPr>
      <w:r>
        <w:rPr>
          <w:rFonts w:ascii="方正小标宋简体" w:hAnsi="宋体" w:eastAsia="方正小标宋简体" w:cs="方正小标宋简体"/>
          <w:bCs/>
          <w:sz w:val="44"/>
          <w:szCs w:val="44"/>
        </w:rPr>
        <w:t xml:space="preserve">2026年度战略咨询项目选题 </w:t>
      </w:r>
    </w:p>
    <w:p w14:paraId="34C05DF3">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1.山西省绿色能源</w:t>
      </w:r>
      <w:r>
        <w:rPr>
          <w:rFonts w:hint="eastAsia" w:ascii="仿宋_GB2312" w:hAnsi="仿宋_GB2312" w:eastAsia="仿宋_GB2312" w:cs="仿宋_GB2312"/>
          <w:b/>
          <w:sz w:val="32"/>
          <w:szCs w:val="40"/>
        </w:rPr>
        <w:t>协同</w:t>
      </w:r>
      <w:r>
        <w:rPr>
          <w:rFonts w:ascii="仿宋_GB2312" w:hAnsi="仿宋_GB2312" w:eastAsia="仿宋_GB2312" w:cs="仿宋_GB2312"/>
          <w:b/>
          <w:sz w:val="32"/>
          <w:szCs w:val="40"/>
        </w:rPr>
        <w:t>发展</w:t>
      </w:r>
      <w:r>
        <w:rPr>
          <w:rFonts w:hint="eastAsia" w:ascii="仿宋_GB2312" w:hAnsi="仿宋_GB2312" w:eastAsia="仿宋_GB2312" w:cs="仿宋_GB2312"/>
          <w:b/>
          <w:sz w:val="32"/>
          <w:szCs w:val="40"/>
        </w:rPr>
        <w:t>与</w:t>
      </w:r>
      <w:r>
        <w:rPr>
          <w:rFonts w:ascii="仿宋_GB2312" w:hAnsi="仿宋_GB2312" w:eastAsia="仿宋_GB2312" w:cs="仿宋_GB2312"/>
          <w:b/>
          <w:sz w:val="32"/>
          <w:szCs w:val="40"/>
        </w:rPr>
        <w:t>产业</w:t>
      </w:r>
      <w:r>
        <w:rPr>
          <w:rFonts w:hint="eastAsia" w:ascii="仿宋_GB2312" w:hAnsi="仿宋_GB2312" w:eastAsia="仿宋_GB2312" w:cs="仿宋_GB2312"/>
          <w:b/>
          <w:sz w:val="32"/>
          <w:szCs w:val="40"/>
        </w:rPr>
        <w:t>转型</w:t>
      </w:r>
      <w:r>
        <w:rPr>
          <w:rFonts w:ascii="仿宋_GB2312" w:hAnsi="仿宋_GB2312" w:eastAsia="仿宋_GB2312" w:cs="仿宋_GB2312"/>
          <w:b/>
          <w:sz w:val="32"/>
          <w:szCs w:val="40"/>
        </w:rPr>
        <w:t>实施路径研究</w:t>
      </w:r>
    </w:p>
    <w:p w14:paraId="053FEE00">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落实国家能源强国战略和《新型能源体系建设</w:t>
      </w:r>
      <w:r>
        <w:rPr>
          <w:rFonts w:ascii="仿宋_GB2312" w:hAnsi="仿宋_GB2312" w:eastAsia="仿宋_GB2312" w:cs="仿宋_GB2312"/>
          <w:sz w:val="32"/>
          <w:szCs w:val="40"/>
        </w:rPr>
        <w:t>“十五五”规划》，推动绿色能源资源优势转化为产业优势，按“供给—储运—应用”链条重构框架，</w:t>
      </w:r>
      <w:r>
        <w:rPr>
          <w:rFonts w:hint="eastAsia" w:ascii="仿宋_GB2312" w:hAnsi="仿宋_GB2312" w:eastAsia="仿宋_GB2312" w:cs="仿宋_GB2312"/>
          <w:sz w:val="32"/>
          <w:szCs w:val="40"/>
        </w:rPr>
        <w:t>重点</w:t>
      </w:r>
      <w:r>
        <w:rPr>
          <w:rFonts w:ascii="仿宋_GB2312" w:hAnsi="仿宋_GB2312" w:eastAsia="仿宋_GB2312" w:cs="仿宋_GB2312"/>
          <w:sz w:val="32"/>
          <w:szCs w:val="40"/>
        </w:rPr>
        <w:t>聚焦绿电外送与本地利用的取舍、耦合场景优先序等关键问题。一是供给端研究。研判山西在全国能源格局中的方位，明确发展定位与目标；研究大型风光基地、地热能、氢能等开发布局，统筹新能源开发与煤电调峰协同，开展技术经济性评价。二是输送与储存端研究。研究电网承载、外送通道与本地消纳的匹配关系，研判外送与本地利用的取舍边界；研究抽水蓄能、新型储能、氢储运等调节储备配置和绿电直连、零</w:t>
      </w:r>
      <w:r>
        <w:rPr>
          <w:rFonts w:hint="eastAsia" w:ascii="仿宋_GB2312" w:hAnsi="仿宋_GB2312" w:eastAsia="仿宋_GB2312" w:cs="仿宋_GB2312"/>
          <w:sz w:val="32"/>
          <w:szCs w:val="40"/>
        </w:rPr>
        <w:t>碳园区组网模式，提出</w:t>
      </w:r>
      <w:r>
        <w:rPr>
          <w:rFonts w:ascii="仿宋_GB2312" w:hAnsi="仿宋_GB2312" w:eastAsia="仿宋_GB2312" w:cs="仿宋_GB2312"/>
          <w:sz w:val="32"/>
          <w:szCs w:val="40"/>
        </w:rPr>
        <w:t>“源—网—荷—储”协同方案。三是终端应用端研究。聚焦绿电氢冶金、煤化工耦合降碳、算电协同、绿色燃料等场景，研究耦合模式与消纳机制，破解绿电消纳与用能清洁化双向难题；开展技术经济性比较，明确场景优先序，提出“以电引产、产供协同”方案。四是机制设计与政策保障研究。研究电力容量市场、绿电交易、跨省跨区交易等机制，研究辅助服务、容量补偿等制度，从价格、财税、认证、要素保障等提出政策工具与重大工程清单。</w:t>
      </w:r>
    </w:p>
    <w:p w14:paraId="112A4C7D">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2.山西非常规天然气产业规模化</w:t>
      </w:r>
      <w:r>
        <w:rPr>
          <w:rFonts w:hint="eastAsia" w:ascii="仿宋_GB2312" w:hAnsi="仿宋_GB2312" w:eastAsia="仿宋_GB2312" w:cs="仿宋_GB2312"/>
          <w:b/>
          <w:sz w:val="32"/>
          <w:szCs w:val="40"/>
        </w:rPr>
        <w:t>开发</w:t>
      </w:r>
      <w:r>
        <w:rPr>
          <w:rFonts w:ascii="仿宋_GB2312" w:hAnsi="仿宋_GB2312" w:eastAsia="仿宋_GB2312" w:cs="仿宋_GB2312"/>
          <w:b/>
          <w:sz w:val="32"/>
          <w:szCs w:val="40"/>
        </w:rPr>
        <w:t>与可持续发展路径研究</w:t>
      </w:r>
    </w:p>
    <w:p w14:paraId="32739D4B">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0" w:name="OLE_LINK1"/>
      <w:r>
        <w:rPr>
          <w:rFonts w:hint="eastAsia" w:ascii="仿宋_GB2312" w:hAnsi="仿宋_GB2312" w:eastAsia="仿宋_GB2312" w:cs="仿宋_GB2312"/>
          <w:sz w:val="32"/>
          <w:szCs w:val="40"/>
        </w:rPr>
        <w:t>落实能源强国战略部署，围绕“十五五”末产量力争达到</w:t>
      </w:r>
      <w:r>
        <w:rPr>
          <w:rFonts w:ascii="仿宋_GB2312" w:hAnsi="仿宋_GB2312" w:eastAsia="仿宋_GB2312" w:cs="仿宋_GB2312"/>
          <w:sz w:val="32"/>
          <w:szCs w:val="40"/>
        </w:rPr>
        <w:t>300亿立方米、产值实现千亿元目标，推动非常规天然气由资源优势转化为产业优势。一是战略方位与愿景研究。调研全省煤层气、页岩气、致密气资源潜力与开发现状，落实国家《鄂尔多斯盆地东部区域煤层气增储上产行动方案》，对标国内外先进开发模式，研判核心短板与战略方位，形成覆盖产业布局、技术攻关、产量增长的战略路线图。二是产业链与价值链提升路径研究。聚焦深部煤层气资源开发、碎软低渗储层改造、多气合采、瓦斯提浓及智能化装备研发等领域，开展技术预见</w:t>
      </w:r>
      <w:r>
        <w:rPr>
          <w:rFonts w:hint="eastAsia" w:ascii="仿宋_GB2312" w:hAnsi="仿宋_GB2312" w:eastAsia="仿宋_GB2312" w:cs="仿宋_GB2312"/>
          <w:sz w:val="32"/>
          <w:szCs w:val="40"/>
        </w:rPr>
        <w:t>，强化</w:t>
      </w:r>
      <w:r>
        <w:rPr>
          <w:rFonts w:ascii="仿宋_GB2312" w:hAnsi="仿宋_GB2312" w:eastAsia="仿宋_GB2312" w:cs="仿宋_GB2312"/>
          <w:sz w:val="32"/>
          <w:szCs w:val="40"/>
        </w:rPr>
        <w:t>技术经济性评价，凝练关键</w:t>
      </w:r>
      <w:r>
        <w:rPr>
          <w:rFonts w:hint="eastAsia" w:ascii="仿宋_GB2312" w:hAnsi="仿宋_GB2312" w:eastAsia="仿宋_GB2312" w:cs="仿宋_GB2312"/>
          <w:sz w:val="32"/>
          <w:szCs w:val="40"/>
        </w:rPr>
        <w:t>技术清单，明确攻关优先级，提出衔接省重大专项的布局建议，着力破解单纯扩产而附加值偏低的问题，推动产业向提质增效、延链增值转型。三是耦合转化与产业生态研究。研究煤与煤层气共采等煤系气协同开发模式，推动矿区、气田井场与光伏风电新能源协同开发；研究瓦斯综合利用、二氧化碳驱煤层气与封存等新业态。面向民用、工业、交通、农业等领域拓展煤层气多元化应用场景，发展集输储运、装备制造等产业。四是机制设计与政策保障研究。研究市场化交易与价格形成机制和管网互联互通、人才引育等政策建议和行动方案。</w:t>
      </w:r>
    </w:p>
    <w:bookmarkEnd w:id="0"/>
    <w:p w14:paraId="687B40DD">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3.山西省氢能产业规模化</w:t>
      </w:r>
      <w:r>
        <w:rPr>
          <w:rFonts w:hint="eastAsia" w:ascii="仿宋_GB2312" w:hAnsi="仿宋_GB2312" w:eastAsia="仿宋_GB2312" w:cs="仿宋_GB2312"/>
          <w:b/>
          <w:sz w:val="32"/>
          <w:szCs w:val="40"/>
        </w:rPr>
        <w:t>发展</w:t>
      </w:r>
      <w:r>
        <w:rPr>
          <w:rFonts w:ascii="仿宋_GB2312" w:hAnsi="仿宋_GB2312" w:eastAsia="仿宋_GB2312" w:cs="仿宋_GB2312"/>
          <w:b/>
          <w:sz w:val="32"/>
          <w:szCs w:val="40"/>
        </w:rPr>
        <w:t>与基地</w:t>
      </w:r>
      <w:r>
        <w:rPr>
          <w:rFonts w:hint="eastAsia" w:ascii="仿宋_GB2312" w:hAnsi="仿宋_GB2312" w:eastAsia="仿宋_GB2312" w:cs="仿宋_GB2312"/>
          <w:b/>
          <w:sz w:val="32"/>
          <w:szCs w:val="40"/>
        </w:rPr>
        <w:t>布局</w:t>
      </w:r>
      <w:r>
        <w:rPr>
          <w:rFonts w:ascii="仿宋_GB2312" w:hAnsi="仿宋_GB2312" w:eastAsia="仿宋_GB2312" w:cs="仿宋_GB2312"/>
          <w:b/>
          <w:sz w:val="32"/>
          <w:szCs w:val="40"/>
        </w:rPr>
        <w:t>战略研究</w:t>
      </w:r>
    </w:p>
    <w:p w14:paraId="1F9D4086">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落实国家能源强国战略，支撑山西能源转型。一是战略方位与愿景研究。系统梳理国家氢能产业部署，研判山西方位与突破路径。二是产业技术路径研究。包括焦炉副产氢、蓝氢、绿氢等阶段性供给能力，强化</w:t>
      </w:r>
      <w:r>
        <w:rPr>
          <w:rFonts w:ascii="仿宋_GB2312" w:hAnsi="仿宋_GB2312" w:eastAsia="仿宋_GB2312" w:cs="仿宋_GB2312"/>
          <w:sz w:val="32"/>
          <w:szCs w:val="40"/>
        </w:rPr>
        <w:t>技术</w:t>
      </w:r>
      <w:r>
        <w:rPr>
          <w:rFonts w:hint="eastAsia" w:ascii="仿宋_GB2312" w:hAnsi="仿宋_GB2312" w:eastAsia="仿宋_GB2312" w:cs="仿宋_GB2312"/>
          <w:sz w:val="32"/>
          <w:szCs w:val="40"/>
        </w:rPr>
        <w:t>经济性评价，研判成本优势窗口期及绿氢规模化替代的关键节点。围绕氢能重卡、氢冶金、煤化工原料替代、储能调峰等山西优势应用场景，开展技术成熟度、经济可行度、减碳效益和市场潜力综合评价，明确场景开发优先序。三是空间布局和产业生态研究。立足全省各地氢源禀赋，依托氢市场需求与产业基础统筹谋划区域分工定位，打通跨区域产业链衔接，形成互补联动的产业格局。同时，</w:t>
      </w:r>
      <w:r>
        <w:rPr>
          <w:rFonts w:ascii="仿宋_GB2312" w:hAnsi="仿宋_GB2312" w:eastAsia="仿宋_GB2312" w:cs="仿宋_GB2312"/>
          <w:sz w:val="32"/>
          <w:szCs w:val="40"/>
        </w:rPr>
        <w:t>系统</w:t>
      </w:r>
      <w:r>
        <w:rPr>
          <w:rFonts w:hint="eastAsia" w:ascii="仿宋_GB2312" w:hAnsi="仿宋_GB2312" w:eastAsia="仿宋_GB2312" w:cs="仿宋_GB2312"/>
          <w:sz w:val="32"/>
          <w:szCs w:val="40"/>
        </w:rPr>
        <w:t>梳理</w:t>
      </w:r>
      <w:r>
        <w:rPr>
          <w:rFonts w:ascii="仿宋_GB2312" w:hAnsi="仿宋_GB2312" w:eastAsia="仿宋_GB2312" w:cs="仿宋_GB2312"/>
          <w:sz w:val="32"/>
          <w:szCs w:val="40"/>
        </w:rPr>
        <w:t>全省</w:t>
      </w:r>
      <w:r>
        <w:rPr>
          <w:rFonts w:hint="eastAsia" w:ascii="仿宋_GB2312" w:hAnsi="仿宋_GB2312" w:eastAsia="仿宋_GB2312" w:cs="仿宋_GB2312"/>
          <w:sz w:val="32"/>
          <w:szCs w:val="40"/>
        </w:rPr>
        <w:t>氢能产业链短板和关键技术瓶颈，提出攻关清单。研究制氢、储运、加注等基础设施建设节奏和制度突破方向，分析政策堵点，形成决策建议。</w:t>
      </w:r>
    </w:p>
    <w:p w14:paraId="58029ED8">
      <w:pPr>
        <w:spacing w:line="579" w:lineRule="exact"/>
        <w:ind w:firstLine="643" w:firstLineChars="200"/>
        <w:rPr>
          <w:rFonts w:ascii="仿宋_GB2312" w:hAnsi="仿宋_GB2312" w:eastAsia="仿宋_GB2312" w:cs="仿宋_GB2312"/>
          <w:b/>
          <w:sz w:val="32"/>
          <w:szCs w:val="40"/>
        </w:rPr>
      </w:pPr>
      <w:r>
        <w:rPr>
          <w:rFonts w:ascii="仿宋_GB2312" w:eastAsia="仿宋_GB2312"/>
          <w:b/>
          <w:sz w:val="32"/>
          <w:szCs w:val="32"/>
        </w:rPr>
        <w:t>4.面</w:t>
      </w:r>
      <w:r>
        <w:rPr>
          <w:rFonts w:ascii="仿宋_GB2312" w:hAnsi="仿宋_GB2312" w:eastAsia="仿宋_GB2312" w:cs="仿宋_GB2312"/>
          <w:b/>
          <w:sz w:val="32"/>
          <w:szCs w:val="40"/>
        </w:rPr>
        <w:t>向本质安全的煤矿智能监测与应急技术提升研究</w:t>
      </w:r>
    </w:p>
    <w:p w14:paraId="549282FF">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1" w:name="OLE_LINK2"/>
      <w:bookmarkStart w:id="2" w:name="OLE_LINK29"/>
      <w:bookmarkStart w:id="3" w:name="OLE_LINK3"/>
      <w:r>
        <w:rPr>
          <w:rFonts w:hint="eastAsia" w:ascii="仿宋_GB2312" w:hAnsi="仿宋_GB2312" w:eastAsia="仿宋_GB2312" w:cs="仿宋_GB2312"/>
          <w:sz w:val="32"/>
          <w:szCs w:val="40"/>
        </w:rPr>
        <w:t>立足统筹发展和安全，分析“人因—管理—技术”三类因素在山西煤矿事故中的占比结构和致因组合模式，剖析管理失效在技术层面的诱因，设计技术防篡改与制度监管方案，构建“技术固证、制度验真、责任闭环”一体化治理模式，</w:t>
      </w:r>
      <w:r>
        <w:rPr>
          <w:rFonts w:ascii="仿宋_GB2312" w:hAnsi="仿宋_GB2312" w:eastAsia="仿宋_GB2312" w:cs="仿宋_GB2312"/>
          <w:sz w:val="32"/>
          <w:szCs w:val="40"/>
        </w:rPr>
        <w:t>推动煤矿</w:t>
      </w:r>
      <w:r>
        <w:rPr>
          <w:rFonts w:hint="eastAsia" w:ascii="仿宋_GB2312" w:hAnsi="仿宋_GB2312" w:eastAsia="仿宋_GB2312" w:cs="仿宋_GB2312"/>
          <w:sz w:val="32"/>
          <w:szCs w:val="40"/>
        </w:rPr>
        <w:t>治理从“事后应急处置”向“事前主动预防”根本性转型。一是聚焦瓦斯、水害、顶板及隐蔽致灾因素，依托确定</w:t>
      </w:r>
      <w:r>
        <w:rPr>
          <w:rFonts w:ascii="仿宋_GB2312" w:hAnsi="仿宋_GB2312" w:eastAsia="仿宋_GB2312" w:cs="仿宋_GB2312"/>
          <w:sz w:val="32"/>
          <w:szCs w:val="40"/>
        </w:rPr>
        <w:t>数据源与</w:t>
      </w:r>
      <w:r>
        <w:rPr>
          <w:rFonts w:hint="eastAsia" w:ascii="仿宋_GB2312" w:hAnsi="仿宋_GB2312" w:eastAsia="仿宋_GB2312" w:cs="仿宋_GB2312"/>
          <w:sz w:val="32"/>
          <w:szCs w:val="40"/>
        </w:rPr>
        <w:t>典型矿区样本</w:t>
      </w:r>
      <w:r>
        <w:rPr>
          <w:rFonts w:ascii="仿宋_GB2312" w:hAnsi="仿宋_GB2312" w:eastAsia="仿宋_GB2312" w:cs="仿宋_GB2312"/>
          <w:sz w:val="32"/>
          <w:szCs w:val="40"/>
        </w:rPr>
        <w:t>开展实证调研</w:t>
      </w:r>
      <w:r>
        <w:rPr>
          <w:rFonts w:hint="eastAsia" w:ascii="仿宋_GB2312" w:hAnsi="仿宋_GB2312" w:eastAsia="仿宋_GB2312" w:cs="仿宋_GB2312"/>
          <w:sz w:val="32"/>
          <w:szCs w:val="40"/>
        </w:rPr>
        <w:t>，评估智能监测预警与应急装备配置、技术水平、运行可靠性、数据质量及系统脆弱性，识别</w:t>
      </w:r>
      <w:r>
        <w:rPr>
          <w:rFonts w:ascii="仿宋_GB2312" w:eastAsia="仿宋_GB2312"/>
          <w:sz w:val="32"/>
          <w:szCs w:val="32"/>
        </w:rPr>
        <w:t>2</w:t>
      </w:r>
      <w:r>
        <w:rPr>
          <w:rFonts w:hint="eastAsia" w:ascii="仿宋_GB2312" w:eastAsia="仿宋_GB2312"/>
          <w:sz w:val="32"/>
          <w:szCs w:val="32"/>
        </w:rPr>
        <w:t>-</w:t>
      </w:r>
      <w:r>
        <w:rPr>
          <w:rFonts w:ascii="仿宋_GB2312" w:eastAsia="仿宋_GB2312"/>
          <w:sz w:val="32"/>
          <w:szCs w:val="32"/>
        </w:rPr>
        <w:t>3</w:t>
      </w:r>
      <w:r>
        <w:rPr>
          <w:rFonts w:hint="eastAsia" w:ascii="仿宋_GB2312" w:eastAsia="仿宋_GB2312"/>
          <w:sz w:val="32"/>
          <w:szCs w:val="32"/>
        </w:rPr>
        <w:t>项关键</w:t>
      </w:r>
      <w:r>
        <w:rPr>
          <w:rFonts w:hint="eastAsia" w:ascii="仿宋_GB2312" w:hAnsi="仿宋_GB2312" w:eastAsia="仿宋_GB2312" w:cs="仿宋_GB2312"/>
          <w:sz w:val="32"/>
          <w:szCs w:val="40"/>
        </w:rPr>
        <w:t>核心问题与战略需求。二是围绕隐蔽致灾因素普查、多物理场耦合感</w:t>
      </w:r>
      <w:r>
        <w:rPr>
          <w:rFonts w:hint="eastAsia" w:ascii="仿宋_GB2312" w:eastAsia="仿宋_GB2312"/>
          <w:sz w:val="32"/>
          <w:szCs w:val="32"/>
        </w:rPr>
        <w:t>知、</w:t>
      </w:r>
      <w:r>
        <w:rPr>
          <w:rFonts w:ascii="仿宋_GB2312" w:eastAsia="仿宋_GB2312"/>
          <w:sz w:val="32"/>
          <w:szCs w:val="32"/>
        </w:rPr>
        <w:t>AI视频与行为识别、预警联动、应急装备提升等方向，按灾害类型、矿</w:t>
      </w:r>
      <w:r>
        <w:rPr>
          <w:rFonts w:ascii="仿宋_GB2312" w:hAnsi="仿宋_GB2312" w:eastAsia="仿宋_GB2312" w:cs="仿宋_GB2312"/>
          <w:sz w:val="32"/>
          <w:szCs w:val="40"/>
        </w:rPr>
        <w:t>井规模、地质条件、智能化基础</w:t>
      </w:r>
      <w:r>
        <w:rPr>
          <w:rFonts w:hint="eastAsia" w:ascii="仿宋_GB2312" w:hAnsi="仿宋_GB2312" w:eastAsia="仿宋_GB2312" w:cs="仿宋_GB2312"/>
          <w:sz w:val="32"/>
          <w:szCs w:val="40"/>
        </w:rPr>
        <w:t>、</w:t>
      </w:r>
      <w:r>
        <w:rPr>
          <w:rFonts w:ascii="仿宋_GB2312" w:hAnsi="仿宋_GB2312" w:eastAsia="仿宋_GB2312" w:cs="仿宋_GB2312"/>
          <w:sz w:val="32"/>
          <w:szCs w:val="40"/>
        </w:rPr>
        <w:t>管理规范程度分类分级</w:t>
      </w:r>
      <w:r>
        <w:rPr>
          <w:rFonts w:hint="eastAsia" w:ascii="仿宋_GB2312" w:hAnsi="仿宋_GB2312" w:eastAsia="仿宋_GB2312" w:cs="仿宋_GB2312"/>
          <w:sz w:val="32"/>
          <w:szCs w:val="40"/>
        </w:rPr>
        <w:t>。区分技术短板、管理漏洞、人为隐患边界，强化各类安全技术场景有效性验证，明确智能装备、巡检设备区域适用边界与技术替代优先序。研究煤矿安全数据分级管理和共享治理实施瓶颈及落地机制，设计异常信息直报、核验和协同流转流程，提出以技术刚性替代人因弹性的本质安全路径。三是分析数据失真、误报漏报、系统失灵和责任虚化成因，量化分析煤矿违规生产的成本—收益结构，研究煤矿智能化改造税收优惠、智能化装备推广补贴等政策工具的适用性和实际效果，设计煤矿主动安全治理的激励机制。四是研究第三方监督与异常信息上报制度，依托监测预警网络制定违规行为智能研判机制，形成“企业内部报告</w:t>
      </w:r>
      <w:r>
        <w:rPr>
          <w:rFonts w:ascii="仿宋_GB2312" w:hAnsi="仿宋_GB2312" w:eastAsia="仿宋_GB2312" w:cs="仿宋_GB2312"/>
          <w:sz w:val="32"/>
          <w:szCs w:val="40"/>
        </w:rPr>
        <w:t>+第三方外部监督+政府分级管理”三位一体方案，围绕“人控→数控”“人力换煤→算力换煤”，提出分阶段</w:t>
      </w:r>
      <w:r>
        <w:rPr>
          <w:rFonts w:hint="eastAsia" w:ascii="仿宋_GB2312" w:hAnsi="仿宋_GB2312" w:eastAsia="仿宋_GB2312" w:cs="仿宋_GB2312"/>
          <w:sz w:val="32"/>
          <w:szCs w:val="40"/>
        </w:rPr>
        <w:t>、</w:t>
      </w:r>
      <w:r>
        <w:rPr>
          <w:rFonts w:ascii="仿宋_GB2312" w:hAnsi="仿宋_GB2312" w:eastAsia="仿宋_GB2312" w:cs="仿宋_GB2312"/>
          <w:sz w:val="32"/>
          <w:szCs w:val="40"/>
        </w:rPr>
        <w:t>可量化、可考核实施路线图、政策保障机制和可落地政策建议。</w:t>
      </w:r>
    </w:p>
    <w:bookmarkEnd w:id="1"/>
    <w:bookmarkEnd w:id="2"/>
    <w:bookmarkEnd w:id="3"/>
    <w:p w14:paraId="13D91A12">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5.山西焦化副产品高值化利用的战略路径与政策研究</w:t>
      </w:r>
    </w:p>
    <w:p w14:paraId="79D03696">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4" w:name="OLE_LINK5"/>
      <w:bookmarkStart w:id="5" w:name="OLE_LINK4"/>
      <w:r>
        <w:rPr>
          <w:rFonts w:hint="eastAsia" w:ascii="仿宋_GB2312" w:hAnsi="仿宋_GB2312" w:eastAsia="仿宋_GB2312" w:cs="仿宋_GB2312"/>
          <w:sz w:val="32"/>
          <w:szCs w:val="40"/>
        </w:rPr>
        <w:t>落实国家“十五五”焦化行业“刚性管控、减量增值”和山西“由焦化大省向焦化强省转变”部署要求，推动焦化副产品从“燃料”“原料”向“高值材料”跃升。一是现状诊断与战略方位研究。贯通炼焦生产全流程，系统研究先进炼焦工艺、智能焦化装备对焦化副产品产出结构、品质稳定性的影响，全面摸排全省焦炉煤气、煤焦油、粗苯等副产产量、品质及跨区域流向；对比周边省份，诊断初级回用、低端外销、链条缺失、创新转化低等成因，建立焦炭产能刚性压减情境下焦化副产资源供给动态预测模型，并兼顾中低温热解油供给潜力，回答高值化路径的规模设计应以多大原料供给量为基准的战略前提问题。二是高值化路径比选与技术评价研究。围绕焦炉煤气制氢及合成材料、煤焦油深加工及高端碳材料、粗苯精制及化工新材料等方向，强化技术成熟度、经济性、市场容量等论证评价体系，比选路径与主攻方向；聚焦绿电绿氢耦合、碳捕集利用与封存、高端碳材料制备等技术预见，凝练关键技术清单。三是区域布局与产业生态研究。研究太原、忻州、吕梁、晋中焦炉煤气高值化，临汾、运城煤焦油精深加工，长治、晋城粗苯精深加工三大集群协同布局；研究园区集聚、产业链招商、要素保障机制，细化</w:t>
      </w:r>
      <w:r>
        <w:rPr>
          <w:rFonts w:ascii="仿宋_GB2312" w:hAnsi="仿宋_GB2312" w:eastAsia="仿宋_GB2312" w:cs="仿宋_GB2312"/>
          <w:sz w:val="32"/>
          <w:szCs w:val="40"/>
        </w:rPr>
        <w:t>项目落地实施举措，</w:t>
      </w:r>
      <w:r>
        <w:rPr>
          <w:rFonts w:hint="eastAsia" w:ascii="仿宋_GB2312" w:hAnsi="仿宋_GB2312" w:eastAsia="仿宋_GB2312" w:cs="仿宋_GB2312"/>
          <w:sz w:val="32"/>
          <w:szCs w:val="40"/>
        </w:rPr>
        <w:t>构建“煤—焦—氢—化”协同产业生态。四是机制设计与政策保障研究。研究标准、监管、财税、金融等政策工具，对接全国碳市场与“转型贷”新机制；遴选重大工程与示范项目，统筹</w:t>
      </w:r>
      <w:r>
        <w:rPr>
          <w:rFonts w:ascii="仿宋_GB2312" w:hAnsi="仿宋_GB2312" w:eastAsia="仿宋_GB2312" w:cs="仿宋_GB2312"/>
          <w:sz w:val="32"/>
          <w:szCs w:val="40"/>
        </w:rPr>
        <w:t>产业、人才、生态三类保障举措，</w:t>
      </w:r>
      <w:r>
        <w:rPr>
          <w:rFonts w:hint="eastAsia" w:ascii="仿宋_GB2312" w:hAnsi="仿宋_GB2312" w:eastAsia="仿宋_GB2312" w:cs="仿宋_GB2312"/>
          <w:sz w:val="32"/>
          <w:szCs w:val="40"/>
        </w:rPr>
        <w:t>形成产能压减</w:t>
      </w:r>
      <w:r>
        <w:rPr>
          <w:rFonts w:ascii="仿宋_GB2312" w:hAnsi="仿宋_GB2312" w:eastAsia="仿宋_GB2312" w:cs="仿宋_GB2312"/>
          <w:sz w:val="32"/>
          <w:szCs w:val="40"/>
        </w:rPr>
        <w:t>、链条延伸、绿色转型协同推进的</w:t>
      </w:r>
      <w:r>
        <w:rPr>
          <w:rFonts w:hint="eastAsia" w:ascii="仿宋_GB2312" w:hAnsi="仿宋_GB2312" w:eastAsia="仿宋_GB2312" w:cs="仿宋_GB2312"/>
          <w:sz w:val="32"/>
          <w:szCs w:val="40"/>
        </w:rPr>
        <w:t>战略路径、技术路线图与政策建议。</w:t>
      </w:r>
    </w:p>
    <w:bookmarkEnd w:id="4"/>
    <w:bookmarkEnd w:id="5"/>
    <w:p w14:paraId="5CBD9AD9">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6.山西钢铁产业高端化</w:t>
      </w:r>
      <w:r>
        <w:rPr>
          <w:rFonts w:hint="eastAsia" w:ascii="仿宋_GB2312" w:hAnsi="仿宋_GB2312" w:eastAsia="仿宋_GB2312" w:cs="仿宋_GB2312"/>
          <w:b/>
          <w:sz w:val="32"/>
          <w:szCs w:val="40"/>
        </w:rPr>
        <w:t>与</w:t>
      </w:r>
      <w:r>
        <w:rPr>
          <w:rFonts w:ascii="仿宋_GB2312" w:hAnsi="仿宋_GB2312" w:eastAsia="仿宋_GB2312" w:cs="仿宋_GB2312"/>
          <w:b/>
          <w:sz w:val="32"/>
          <w:szCs w:val="40"/>
        </w:rPr>
        <w:t>低碳化协同转型</w:t>
      </w:r>
      <w:r>
        <w:rPr>
          <w:rFonts w:hint="eastAsia" w:ascii="仿宋_GB2312" w:hAnsi="仿宋_GB2312" w:eastAsia="仿宋_GB2312" w:cs="仿宋_GB2312"/>
          <w:b/>
          <w:sz w:val="32"/>
          <w:szCs w:val="40"/>
        </w:rPr>
        <w:t>战略</w:t>
      </w:r>
      <w:r>
        <w:rPr>
          <w:rFonts w:ascii="仿宋_GB2312" w:hAnsi="仿宋_GB2312" w:eastAsia="仿宋_GB2312" w:cs="仿宋_GB2312"/>
          <w:b/>
          <w:sz w:val="32"/>
          <w:szCs w:val="40"/>
        </w:rPr>
        <w:t>研究</w:t>
      </w:r>
    </w:p>
    <w:p w14:paraId="0CA6A5C0">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6" w:name="OLE_LINK13"/>
      <w:bookmarkStart w:id="7" w:name="OLE_LINK14"/>
      <w:bookmarkStart w:id="8" w:name="OLE_LINK7"/>
      <w:bookmarkStart w:id="9" w:name="OLE_LINK8"/>
      <w:r>
        <w:rPr>
          <w:rFonts w:hint="eastAsia" w:ascii="仿宋_GB2312" w:hAnsi="仿宋_GB2312" w:eastAsia="仿宋_GB2312" w:cs="仿宋_GB2312"/>
          <w:sz w:val="32"/>
          <w:szCs w:val="40"/>
        </w:rPr>
        <w:t>立足山西钢铁存量产能、循环配套与集群发展基础，紧扣国家及山西省“十五五”传统产业转型、培育新质生产力、工业降碳部署，聚焦在刚性降碳约束下持续提升山西钢铁产业产品市场核心竞争力主线</w:t>
      </w:r>
      <w:r>
        <w:rPr>
          <w:rFonts w:ascii="仿宋_GB2312" w:hAnsi="仿宋_GB2312" w:eastAsia="仿宋_GB2312" w:cs="仿宋_GB2312"/>
          <w:sz w:val="32"/>
          <w:szCs w:val="40"/>
        </w:rPr>
        <w:t>，</w:t>
      </w:r>
      <w:r>
        <w:rPr>
          <w:rFonts w:hint="eastAsia" w:ascii="仿宋_GB2312" w:hAnsi="仿宋_GB2312" w:eastAsia="仿宋_GB2312" w:cs="仿宋_GB2312"/>
          <w:sz w:val="32"/>
          <w:szCs w:val="40"/>
        </w:rPr>
        <w:t>分析山西钢铁产业链产能规模、产品结构、碳排放结构与长流程产能占比等关键指标，构建精品化、低碳化、智能化、循环化战略架构，明确阶段目标与指标。一是立足新质生产力要求，从技术层面重点</w:t>
      </w:r>
      <w:r>
        <w:rPr>
          <w:rFonts w:ascii="仿宋_GB2312" w:hAnsi="仿宋_GB2312" w:eastAsia="仿宋_GB2312" w:cs="仿宋_GB2312"/>
          <w:sz w:val="32"/>
          <w:szCs w:val="40"/>
        </w:rPr>
        <w:t>研判低碳技术改造与产品竞争力提升的耦合关系，</w:t>
      </w:r>
      <w:r>
        <w:rPr>
          <w:rFonts w:hint="eastAsia" w:ascii="仿宋_GB2312" w:hAnsi="仿宋_GB2312" w:eastAsia="仿宋_GB2312" w:cs="仿宋_GB2312"/>
          <w:sz w:val="32"/>
          <w:szCs w:val="40"/>
        </w:rPr>
        <w:t>识别低碳冶金推广滞后、智能化改造覆盖面不足、高附加值产品研发能力薄弱等技术瓶颈，评估氢冶金、薄带铸轧等低碳冶金技术的成熟度、</w:t>
      </w:r>
      <w:r>
        <w:rPr>
          <w:rFonts w:ascii="仿宋_GB2312" w:hAnsi="仿宋_GB2312" w:eastAsia="仿宋_GB2312" w:cs="仿宋_GB2312"/>
          <w:sz w:val="32"/>
          <w:szCs w:val="40"/>
        </w:rPr>
        <w:t>投入产出经济性</w:t>
      </w:r>
      <w:r>
        <w:rPr>
          <w:rFonts w:hint="eastAsia" w:ascii="仿宋_GB2312" w:hAnsi="仿宋_GB2312" w:eastAsia="仿宋_GB2312" w:cs="仿宋_GB2312"/>
          <w:sz w:val="32"/>
          <w:szCs w:val="40"/>
        </w:rPr>
        <w:t>与山西适配性和突破路径。二是从管理层面识别“钢焦一体化配置不完善”、产业链条短、创新赋能不足等管理短板，研究以链主企业为牵引的“冶炼—轧制—深加工”产业链延伸模式，分析精品钢深加工园区建设、定制化服务转型对高值化的带动效应，提出产业链高值化延伸的优先方向与空间布局方案。三是分析钢铁行业纳入碳市场后碳成本传导机制对企业竞争力的影响，研究转型金融工具、绿色采购制度等政策工具的适用性，设计“碳成本约束—产品结构优化—市场竞争力跃升”协同优化模型，提出分阶段实施路线图，推动山西钢铁产业由“材料供应商”向“材料解决方案供应商”转变，实现从规模扩张向质量竞争的跃升。</w:t>
      </w:r>
      <w:bookmarkEnd w:id="6"/>
      <w:bookmarkEnd w:id="7"/>
    </w:p>
    <w:bookmarkEnd w:id="8"/>
    <w:bookmarkEnd w:id="9"/>
    <w:p w14:paraId="42456CC0">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7.山西铝镁新材料产业集群发展的关键瓶颈与破解路径研究</w:t>
      </w:r>
    </w:p>
    <w:p w14:paraId="77E12770">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10" w:name="OLE_LINK16"/>
      <w:bookmarkStart w:id="11" w:name="OLE_LINK15"/>
      <w:r>
        <w:rPr>
          <w:rFonts w:hint="eastAsia" w:ascii="仿宋_GB2312" w:hAnsi="仿宋_GB2312" w:eastAsia="仿宋_GB2312" w:cs="仿宋_GB2312"/>
          <w:sz w:val="32"/>
          <w:szCs w:val="40"/>
        </w:rPr>
        <w:t>落实“国家重要能源原材料基地”战略部署和《铝产业高质量发展实施方案》，紧扣山西千亿级铝镁产业集群目标，破解产业链“上强下弱”，把“资源大省、产量强省”建成“材料强省”。一是基础评估与格局研判研究。系统梳理山西产业发展格局，对标全国一流铝加工、镁铝融合、绿电直供</w:t>
      </w:r>
      <w:r>
        <w:rPr>
          <w:rFonts w:ascii="仿宋_GB2312" w:hAnsi="仿宋_GB2312" w:eastAsia="仿宋_GB2312" w:cs="仿宋_GB2312"/>
          <w:sz w:val="32"/>
          <w:szCs w:val="40"/>
        </w:rPr>
        <w:t>+再生铝等产业集群，明确山西产业定位。二是堵点诊断与结构优化研究。研判初级冶炼产能偏大、精深加工薄弱、工程化转化不足、就地转化率偏低、四链协同不畅、基地同质化等制约，研究“煤下铝”开采标准缺失、矿权重叠、跨矿种审批等堵点和解决方案。三是全链升</w:t>
      </w:r>
      <w:r>
        <w:rPr>
          <w:rFonts w:hint="eastAsia" w:ascii="仿宋_GB2312" w:hAnsi="仿宋_GB2312" w:eastAsia="仿宋_GB2312" w:cs="仿宋_GB2312"/>
          <w:sz w:val="32"/>
          <w:szCs w:val="40"/>
        </w:rPr>
        <w:t>级与集群布局研究。立足铝、镁产业工艺差异实施分类路径优化，铝产业做强煤电铝材一体化、绿电直供低碳冶炼优势；镁产业重点布局低碳炼镁、余热梯级利用、再生镁高值循环利用技术体系。围绕全链条增值导向，系统开展伴生镓锂提取、赤泥资源化利用的技术成熟度与经济性评价，量化资源就地转化率提升潜力；依托新能源汽车、轨道交通等轻量化牵引，推动镁合金向终端延伸。四是机制保障与政策赋能研究。构建技术攻坚、空间优化、要素集聚、政策赋能体系，研究“政产学研用”协同、绿电与高载能产业配置、产业转型基金等政策工具与路线图，推动向高端价值链攀升。</w:t>
      </w:r>
    </w:p>
    <w:bookmarkEnd w:id="10"/>
    <w:bookmarkEnd w:id="11"/>
    <w:p w14:paraId="067161D4">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8.</w:t>
      </w:r>
      <w:r>
        <w:t xml:space="preserve"> </w:t>
      </w:r>
      <w:r>
        <w:rPr>
          <w:rFonts w:hint="eastAsia" w:ascii="仿宋_GB2312" w:hAnsi="仿宋_GB2312" w:eastAsia="仿宋_GB2312" w:cs="仿宋_GB2312"/>
          <w:b/>
          <w:sz w:val="32"/>
          <w:szCs w:val="40"/>
        </w:rPr>
        <w:t>山西省高端装备制造产业生态构建与竞争力提升研究</w:t>
      </w:r>
    </w:p>
    <w:p w14:paraId="0C463A7E">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立足先进制造业体系重塑、实体经济提质升级，以竞争力提升为统领，把人工智能与工业智能体作为产业升级的核心变量，聚焦重点领域选择、智能赋能路径与产业生态构建，系统开展战略研究。一是产业基础与细分领域选择研究。研判全省高端装备现状、转型空间与趋势，对标先进省份找差距；坚持有所为有所不为，筛选最易形成成套产品和市场优势领域，研判煤机、轨道交通等领域智能化适配度，明确主攻方向与梯队。二是智能赋能与竞争力形成路径研究。研究矿山、能源等本地需求如何支撑产品研发验证与迭代，揭示“应用场景—产品成熟—市场竞争—供给能力”的竞争力生成机理；研究装备与人工智能耦合路径，聚焦数字化设计、具身智能自主作业、工业智能体承担任务与辅助决策等方向，研判技术瓶颈与优先序。三是产业生态构建研究。从主体培育、配套完善、平台建设、机制创新等维度，研究核心零部件与工业软件本地化配套、中小企业智能化改造、数据与算力平台支撑、产学研成果落地问题，提出分阶段培育路径。四是政策保障与对标研究。对标先进省份政策，研究激励高校企业、人才技术扎根山西举措，从首台（套）、要素保障、金融支持、安全治理提出政策工具与路线图。</w:t>
      </w:r>
    </w:p>
    <w:p w14:paraId="2D6EDA75">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9.山西省超宽禁带半导体材料与器件产业布局及升级路径战略研究</w:t>
      </w:r>
    </w:p>
    <w:p w14:paraId="78935910">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12" w:name="OLE_LINK18"/>
      <w:bookmarkStart w:id="13" w:name="OLE_LINK17"/>
      <w:r>
        <w:rPr>
          <w:rFonts w:hint="eastAsia" w:ascii="仿宋_GB2312" w:hAnsi="仿宋_GB2312" w:eastAsia="仿宋_GB2312" w:cs="仿宋_GB2312"/>
          <w:sz w:val="32"/>
          <w:szCs w:val="40"/>
        </w:rPr>
        <w:t>落实国家“十五五”规划纲要推动氧化镓、金刚石等超宽禁带半导体产业化部署和《电子信息制造业发展“十五五”规划》，立足山西省镓系稀有资源与绿电、低成本用能优势，推动能源、资源优势转化为新材料产业优势。一是战略方位与现状诊断研究。研判山西省半导体产业基础与优势，诊断资源与产业能级错配、提纯与晶体生长受限、产业链零散等瓶颈，明确战略定位与目标。二是技术路线与产业布局研究。立足山西省科研基础与产业承载能力，对比氧化镓、金刚石、氮化铝产业条件与应用场景差异，开展技术成熟度、经济性与市场前景综合研判，明确技术攻关优先序，探索超宽禁带半导体产业换道升级路径。三是能源协同与场景应用研究。研究太原、忻州、长治、吕梁差异化布局及“材料—装备—器件—应用”全链条方案。研究超宽禁带半导体与特高压、智能矿山场景对接，打通“绿色能源—高端材料—本地应用”闭环。四是协同生态与政策保障研究。搭建产学研协同创新体系，优化平台载体与要素配置，围绕资源供给、中试孵化、示范应用、市场培育等关键环节，完善配套政策与推进机制，构建良性产业生态，支撑超宽禁带半导体产业集群化培育发展。</w:t>
      </w:r>
    </w:p>
    <w:bookmarkEnd w:id="12"/>
    <w:bookmarkEnd w:id="13"/>
    <w:p w14:paraId="2A5B84AA">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10.</w:t>
      </w:r>
      <w:bookmarkStart w:id="14" w:name="OLE_LINK10"/>
      <w:bookmarkStart w:id="15" w:name="OLE_LINK11"/>
      <w:bookmarkStart w:id="16" w:name="OLE_LINK12"/>
      <w:r>
        <w:t xml:space="preserve"> </w:t>
      </w:r>
      <w:r>
        <w:rPr>
          <w:rFonts w:hint="eastAsia" w:ascii="仿宋_GB2312" w:hAnsi="仿宋_GB2312" w:eastAsia="仿宋_GB2312" w:cs="仿宋_GB2312"/>
          <w:b/>
          <w:sz w:val="32"/>
          <w:szCs w:val="40"/>
        </w:rPr>
        <w:t>场景驱动下山西省能源转型专利成果供需匹配与转化机制研究</w:t>
      </w:r>
    </w:p>
    <w:bookmarkEnd w:id="14"/>
    <w:bookmarkEnd w:id="15"/>
    <w:bookmarkEnd w:id="16"/>
    <w:p w14:paraId="2F164EC6">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落实国家发展新质生产力、推动科技创新和产业创新深度融合部署，强化场景驱动创新，立足全省资源型经济转型目标，以场景为牵引打通“专利供给—场景验证—产业应用”通道，构建“供给盘点—需求归集—精准匹配—场景验证与风险治理—利益分配”框架。一是专利供给盘点。梳理能源转型领域专利存量与结构，按法律稳定性、技术成熟度、产业化条件分级画像，摸清可转化底数。二是场景需求归集。面向重点技术领域，依托智慧矿山等重大场景，归集企业技术问题与验证需求，形成场景需求清单。三是供需精准匹配与错配诊断。运用专利大数据、语义分析与技术谱系比对，结合场景适配性研判匹配、错配与空白，识别“有专利无场景”“有场景无技术”矛盾。四是场景验证与风险治理。按“技术突破—场景验证—产业应用—体系升级”路径，研究概念验证、中试平台、首台（套）等验证机制，评估技术成熟度、中试放大等风险，构建预警机制。五是利益分配与融合机制。研究职务成果赋权、先使用后付费、收益分配与作价入股、企业主导转化等制度安排，提出激励相容机制，形成攻关方向、专利运营、场景开放与产学研对接的举措。</w:t>
      </w:r>
    </w:p>
    <w:p w14:paraId="789BBBA8">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11.山西省生物制造产业发展战略研究</w:t>
      </w:r>
    </w:p>
    <w:p w14:paraId="0ACFA1E0">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紧扣国家“十五五”生物制造未来产业部署，探索山西差异化产业发展路径。一是系统调研山西生物质资源禀赋，结合省内创新平台、龙头企业、专业人才及产业链配套现状，对标国内先进地区产业实践，研判山西产业发展机遇、短板和瓶颈。二是立足省情筛选重点赛道，围绕生物医药、生物化工和能源、生物农业和食品等领域，研究关键技术攻关、中试放大、标杆产品研发与场景示范推广的实施路径，打通技术从样品到产品、试点到产业化的转化链条。三是统筹政策研究、财政金融支持、产学研用协同等保障机制，谋划重大示范项目，提出系统性战略任务，形成可落地的战略方案。</w:t>
      </w:r>
    </w:p>
    <w:p w14:paraId="5F4C0588">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12.科技赋能山西非遗传承传播与产业化转化战略研究</w:t>
      </w:r>
    </w:p>
    <w:p w14:paraId="5EF2ADA7">
      <w:pPr>
        <w:spacing w:line="579" w:lineRule="exact"/>
        <w:ind w:firstLine="643" w:firstLineChars="200"/>
        <w:rPr>
          <w:rFonts w:ascii="仿宋_GB2312" w:eastAsia="仿宋_GB2312"/>
          <w:sz w:val="32"/>
          <w:szCs w:val="32"/>
        </w:rPr>
      </w:pPr>
      <w:r>
        <w:rPr>
          <w:rFonts w:hint="eastAsia" w:ascii="仿宋_GB2312" w:hAnsi="仿宋_GB2312" w:eastAsia="仿宋_GB2312" w:cs="仿宋_GB2312"/>
          <w:b/>
          <w:sz w:val="32"/>
          <w:szCs w:val="40"/>
        </w:rPr>
        <w:t>研究内容：</w:t>
      </w:r>
      <w:bookmarkStart w:id="17" w:name="OLE_LINK20"/>
      <w:bookmarkStart w:id="18" w:name="OLE_LINK19"/>
      <w:r>
        <w:rPr>
          <w:rFonts w:hint="eastAsia" w:ascii="仿宋_GB2312" w:hAnsi="仿宋_GB2312" w:eastAsia="仿宋_GB2312" w:cs="仿宋_GB2312"/>
          <w:sz w:val="32"/>
          <w:szCs w:val="40"/>
        </w:rPr>
        <w:t>落实国家文化遗产保护传承规划部署，聚焦山西传统酿造、金属锻造、中医药、雕刻漆艺等优势非遗产业，针对其“工艺难量产、标准不统一、产销脱节”等共性难题，开展战略性、前瞻性与工程化路径研究。一是产业瓶颈诊断与战略路径研究。系统摸排山西重点非遗产业在工艺量化、材料替代、智能装备等方面的工程技术瓶颈与产业链断点，建立科技赋能潜力评价体系，精准识别具备产业化主攻方向的重点门类，形成面向产业升级的“技术需求清单”与“发展路线图”。二是工艺再造与数字赋能路径研究。立足产业化落地需求，重点研究传统工艺标准化改造、生产装备适配改造方案，推进传统作坊智能化技改。围绕非遗数字资产确权、数据体系建设开展工程化研究，探索</w:t>
      </w:r>
      <w:r>
        <w:rPr>
          <w:rFonts w:ascii="仿宋_GB2312" w:hAnsi="仿宋_GB2312" w:eastAsia="仿宋_GB2312" w:cs="仿宋_GB2312"/>
          <w:sz w:val="32"/>
          <w:szCs w:val="40"/>
        </w:rPr>
        <w:t>AIGC、数字孪生在产品研发、工艺优化中的落地应用模式，完善生产质量控制体系</w:t>
      </w:r>
      <w:r>
        <w:rPr>
          <w:rFonts w:ascii="仿宋_GB2312" w:eastAsia="仿宋_GB2312"/>
          <w:sz w:val="32"/>
          <w:szCs w:val="32"/>
        </w:rPr>
        <w:t>。三是产业生态与集群发展模式研究。提出以科技创新驱动非遗产业</w:t>
      </w:r>
      <w:r>
        <w:rPr>
          <w:rFonts w:ascii="仿宋_GB2312" w:hAnsi="仿宋_GB2312" w:eastAsia="仿宋_GB2312" w:cs="仿宋_GB2312"/>
          <w:sz w:val="32"/>
          <w:szCs w:val="40"/>
        </w:rPr>
        <w:t>融入现代文旅、大健康、消费品工业的跨界融合策略，形成“非遗+”特色产业集群培育方案。研究构建“非遗传承人+工程师+设计师”跨界协同的创新组织模式。四是政策工具与重大工程项目研究。围绕关键技术攻关、复合型人才培养、质量标准</w:t>
      </w:r>
      <w:r>
        <w:rPr>
          <w:rFonts w:hint="eastAsia" w:ascii="仿宋_GB2312" w:hAnsi="仿宋_GB2312" w:eastAsia="仿宋_GB2312" w:cs="仿宋_GB2312"/>
          <w:sz w:val="32"/>
          <w:szCs w:val="40"/>
        </w:rPr>
        <w:t>建设、知识产权保护等关键环节，研究提出系统性的政策工具箱。凝练并论</w:t>
      </w:r>
      <w:r>
        <w:rPr>
          <w:rFonts w:hint="eastAsia" w:ascii="仿宋_GB2312" w:eastAsia="仿宋_GB2312"/>
          <w:sz w:val="32"/>
          <w:szCs w:val="32"/>
        </w:rPr>
        <w:t>证</w:t>
      </w:r>
      <w:r>
        <w:rPr>
          <w:rFonts w:ascii="仿宋_GB2312" w:eastAsia="仿宋_GB2312"/>
          <w:sz w:val="32"/>
          <w:szCs w:val="32"/>
        </w:rPr>
        <w:t>1-2项可供决策的“山西非遗工程科技创新重大专项”建议方案。</w:t>
      </w:r>
    </w:p>
    <w:bookmarkEnd w:id="17"/>
    <w:bookmarkEnd w:id="18"/>
    <w:p w14:paraId="07487EB4">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13.山西智能经济新形态现状评</w:t>
      </w:r>
      <w:r>
        <w:rPr>
          <w:rFonts w:hint="eastAsia" w:ascii="仿宋_GB2312" w:hAnsi="仿宋_GB2312" w:eastAsia="仿宋_GB2312" w:cs="仿宋_GB2312"/>
          <w:b/>
          <w:sz w:val="32"/>
          <w:szCs w:val="40"/>
        </w:rPr>
        <w:t>估</w:t>
      </w:r>
      <w:r>
        <w:rPr>
          <w:rFonts w:ascii="仿宋_GB2312" w:hAnsi="仿宋_GB2312" w:eastAsia="仿宋_GB2312" w:cs="仿宋_GB2312"/>
          <w:b/>
          <w:sz w:val="32"/>
          <w:szCs w:val="40"/>
        </w:rPr>
        <w:t>与发展路径研究</w:t>
      </w:r>
    </w:p>
    <w:p w14:paraId="7E64F1E4">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19" w:name="OLE_LINK22"/>
      <w:bookmarkStart w:id="20" w:name="OLE_LINK21"/>
      <w:r>
        <w:rPr>
          <w:rFonts w:hint="eastAsia" w:ascii="仿宋_GB2312" w:hAnsi="仿宋_GB2312" w:eastAsia="仿宋_GB2312" w:cs="仿宋_GB2312"/>
          <w:sz w:val="32"/>
          <w:szCs w:val="40"/>
        </w:rPr>
        <w:t>紧扣国家打造智能经济新形态、深化数实融合的战略导向，立足山西资源型经济转型定位，厘清智能经济宏观研究与工业智能体研究分工，重点研判人工智能催生的新产品、新服务、新型生产组织与商业模式，开展场景技术可行性、应用效益与安全性评估，明确山西阶段定位、比较优势和升级空间。一是调研摸清山西智能经济新形态相关的产业链、主要业态和典型场景。二是聚焦人工智能</w:t>
      </w:r>
      <w:r>
        <w:rPr>
          <w:rFonts w:ascii="仿宋_GB2312" w:hAnsi="仿宋_GB2312" w:eastAsia="仿宋_GB2312" w:cs="仿宋_GB2312"/>
          <w:sz w:val="32"/>
          <w:szCs w:val="40"/>
        </w:rPr>
        <w:t>+煤炭、智能制造、数据服务等新业态，同步绘制算力、数据、平台、主体、人才等科技资源图谱，诊断数据流通、算力供给、场景开放、商业模式等堵点。三是对标先进地区实践经验，围绕数据要素市场化、算力基础设施、经营主体培育、专业人才引育、创新平台等，形成可落地的场景牵引、平台聚链对策建议，提出技术攻关清单、阶段目标、重点赛道与空间布局。</w:t>
      </w:r>
    </w:p>
    <w:bookmarkEnd w:id="19"/>
    <w:bookmarkEnd w:id="20"/>
    <w:p w14:paraId="6C5735F9">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14.山西特优农业向现代化大产业转型升级战略研究</w:t>
      </w:r>
    </w:p>
    <w:p w14:paraId="28154F72">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立足国家及山西省“十五五”时期保障粮食安全、推动特色农业产业化、构建现代化大农业体系的总体部署，推动山西特优农业向现代化大产业转型升级。一是聚焦杂粮、果品、中药材、特色畜牧等优势品类，全面梳理产业及技术现状，剖析在产业链条、品牌影响力等方面面临的挑战。二是围绕标准化基地建设、全产业链延伸、农产品精深加工、智慧农机装备应用、区域品牌培育、市场体系构建等关键方向，研究提出适合山西省情的转型发展路径、重点任务与配套政策举措。</w:t>
      </w:r>
    </w:p>
    <w:p w14:paraId="73BF84A5">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15.</w:t>
      </w:r>
      <w:r>
        <w:rPr>
          <w:rFonts w:hint="eastAsia"/>
        </w:rPr>
        <w:t xml:space="preserve"> </w:t>
      </w:r>
      <w:r>
        <w:rPr>
          <w:rFonts w:hint="eastAsia" w:ascii="仿宋_GB2312" w:hAnsi="仿宋_GB2312" w:eastAsia="仿宋_GB2312" w:cs="仿宋_GB2312"/>
          <w:b/>
          <w:sz w:val="32"/>
          <w:szCs w:val="40"/>
        </w:rPr>
        <w:t>面向山西科技战略决策的央地协同智能情报服务体系研究</w:t>
      </w:r>
    </w:p>
    <w:p w14:paraId="621FD1B3">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21" w:name="OLE_LINK23"/>
      <w:bookmarkStart w:id="22" w:name="OLE_LINK24"/>
      <w:r>
        <w:rPr>
          <w:rFonts w:hint="eastAsia" w:ascii="仿宋_GB2312" w:hAnsi="仿宋_GB2312" w:eastAsia="仿宋_GB2312" w:cs="仿宋_GB2312"/>
          <w:sz w:val="32"/>
          <w:szCs w:val="40"/>
        </w:rPr>
        <w:t>立足新型举国体制，探索中国科学技术信息研究所与山西省科技情报与战略研究中心央地协同新模式，紧扣山西资源型经济转型刚需，聚焦能源、算力等重点特色领域场景，补齐决策服务与产业需求衔接短板，切实提升全省科技战略研判的精准度、时效性与落地性，为全省科技创新治理现代化提供体系化支撑。一是以循证决策为理念，围绕“事实型数据</w:t>
      </w:r>
      <w:r>
        <w:rPr>
          <w:rFonts w:ascii="仿宋_GB2312" w:hAnsi="仿宋_GB2312" w:eastAsia="仿宋_GB2312" w:cs="仿宋_GB2312"/>
          <w:sz w:val="32"/>
          <w:szCs w:val="40"/>
        </w:rPr>
        <w:t>+智能分析工具+决策应用场景”体系，研究基于人工智能的高质量数据集构建、创新主体评价、竞合生态分析、大模型驱动分析与内容生成等核心技术提升路径，</w:t>
      </w:r>
      <w:r>
        <w:rPr>
          <w:rFonts w:hint="eastAsia" w:ascii="仿宋_GB2312" w:hAnsi="仿宋_GB2312" w:eastAsia="仿宋_GB2312" w:cs="仿宋_GB2312"/>
          <w:sz w:val="32"/>
          <w:szCs w:val="40"/>
        </w:rPr>
        <w:t>形成</w:t>
      </w:r>
      <w:r>
        <w:rPr>
          <w:rFonts w:ascii="仿宋_GB2312" w:hAnsi="仿宋_GB2312" w:eastAsia="仿宋_GB2312" w:cs="仿宋_GB2312"/>
          <w:sz w:val="32"/>
          <w:szCs w:val="40"/>
        </w:rPr>
        <w:t>可复用的共性科技信息分析方法与能力框架，</w:t>
      </w:r>
      <w:r>
        <w:rPr>
          <w:rFonts w:hint="eastAsia" w:ascii="仿宋_GB2312" w:hAnsi="仿宋_GB2312" w:eastAsia="仿宋_GB2312" w:cs="仿宋_GB2312"/>
          <w:sz w:val="32"/>
          <w:szCs w:val="40"/>
        </w:rPr>
        <w:t>构建</w:t>
      </w:r>
      <w:r>
        <w:rPr>
          <w:rFonts w:ascii="仿宋_GB2312" w:hAnsi="仿宋_GB2312" w:eastAsia="仿宋_GB2312" w:cs="仿宋_GB2312"/>
          <w:sz w:val="32"/>
          <w:szCs w:val="40"/>
        </w:rPr>
        <w:t>省级标准化科创研判支撑体系，提升山西决策服务平台智能化水平。二是聚焦山西省科技战略决策核心需求，梳理常态化监测信源清单，构建多源异构信息智能采集与语义分析能力，建立多视角标准、多维</w:t>
      </w:r>
      <w:r>
        <w:rPr>
          <w:rFonts w:hint="eastAsia" w:ascii="仿宋_GB2312" w:hAnsi="仿宋_GB2312" w:eastAsia="仿宋_GB2312" w:cs="仿宋_GB2312"/>
          <w:sz w:val="32"/>
          <w:szCs w:val="40"/>
        </w:rPr>
        <w:t>度关联、深层次挖掘的数据融合标准化流程，形成动态信息源发现、增量抓取与质量评估机制，实现</w:t>
      </w:r>
      <w:r>
        <w:rPr>
          <w:rFonts w:ascii="仿宋_GB2312" w:hAnsi="仿宋_GB2312" w:eastAsia="仿宋_GB2312" w:cs="仿宋_GB2312"/>
          <w:sz w:val="32"/>
          <w:szCs w:val="40"/>
        </w:rPr>
        <w:t>重点领域产业</w:t>
      </w:r>
      <w:r>
        <w:rPr>
          <w:rFonts w:hint="eastAsia" w:ascii="仿宋_GB2312" w:hAnsi="仿宋_GB2312" w:eastAsia="仿宋_GB2312" w:cs="仿宋_GB2312"/>
          <w:sz w:val="32"/>
          <w:szCs w:val="40"/>
        </w:rPr>
        <w:t>创新</w:t>
      </w:r>
      <w:r>
        <w:rPr>
          <w:rFonts w:ascii="仿宋_GB2312" w:hAnsi="仿宋_GB2312" w:eastAsia="仿宋_GB2312" w:cs="仿宋_GB2312"/>
          <w:sz w:val="32"/>
          <w:szCs w:val="40"/>
        </w:rPr>
        <w:t>动态全景感知、增量问题精准预警，</w:t>
      </w:r>
      <w:r>
        <w:rPr>
          <w:rFonts w:hint="eastAsia" w:ascii="仿宋_GB2312" w:hAnsi="仿宋_GB2312" w:eastAsia="仿宋_GB2312" w:cs="仿宋_GB2312"/>
          <w:sz w:val="32"/>
          <w:szCs w:val="40"/>
        </w:rPr>
        <w:t>为山西</w:t>
      </w:r>
      <w:r>
        <w:rPr>
          <w:rFonts w:ascii="仿宋_GB2312" w:hAnsi="仿宋_GB2312" w:eastAsia="仿宋_GB2312" w:cs="仿宋_GB2312"/>
          <w:sz w:val="32"/>
          <w:szCs w:val="40"/>
        </w:rPr>
        <w:t>省</w:t>
      </w:r>
      <w:r>
        <w:rPr>
          <w:rFonts w:hint="eastAsia" w:ascii="仿宋_GB2312" w:hAnsi="仿宋_GB2312" w:eastAsia="仿宋_GB2312" w:cs="仿宋_GB2312"/>
          <w:sz w:val="32"/>
          <w:szCs w:val="40"/>
        </w:rPr>
        <w:t>科技战略研判、技术预见、项目谋划</w:t>
      </w:r>
      <w:r>
        <w:rPr>
          <w:rFonts w:ascii="仿宋_GB2312" w:hAnsi="仿宋_GB2312" w:eastAsia="仿宋_GB2312" w:cs="仿宋_GB2312"/>
          <w:sz w:val="32"/>
          <w:szCs w:val="40"/>
        </w:rPr>
        <w:t>、</w:t>
      </w:r>
      <w:r>
        <w:rPr>
          <w:rFonts w:hint="eastAsia" w:ascii="仿宋_GB2312" w:hAnsi="仿宋_GB2312" w:eastAsia="仿宋_GB2312" w:cs="仿宋_GB2312"/>
          <w:sz w:val="32"/>
          <w:szCs w:val="40"/>
        </w:rPr>
        <w:t>产业创新与政策制定提供</w:t>
      </w:r>
      <w:r>
        <w:rPr>
          <w:rFonts w:ascii="仿宋_GB2312" w:hAnsi="仿宋_GB2312" w:eastAsia="仿宋_GB2312" w:cs="仿宋_GB2312"/>
          <w:sz w:val="32"/>
          <w:szCs w:val="40"/>
        </w:rPr>
        <w:t>循证依据</w:t>
      </w:r>
      <w:r>
        <w:rPr>
          <w:rFonts w:hint="eastAsia" w:ascii="仿宋_GB2312" w:hAnsi="仿宋_GB2312" w:eastAsia="仿宋_GB2312" w:cs="仿宋_GB2312"/>
          <w:sz w:val="32"/>
          <w:szCs w:val="40"/>
        </w:rPr>
        <w:t>，</w:t>
      </w:r>
      <w:r>
        <w:rPr>
          <w:rFonts w:ascii="仿宋_GB2312" w:hAnsi="仿宋_GB2312" w:eastAsia="仿宋_GB2312" w:cs="仿宋_GB2312"/>
          <w:sz w:val="32"/>
          <w:szCs w:val="40"/>
        </w:rPr>
        <w:t>提升省级</w:t>
      </w:r>
      <w:r>
        <w:rPr>
          <w:rFonts w:hint="eastAsia" w:ascii="仿宋_GB2312" w:hAnsi="仿宋_GB2312" w:eastAsia="仿宋_GB2312" w:cs="仿宋_GB2312"/>
          <w:sz w:val="32"/>
          <w:szCs w:val="40"/>
        </w:rPr>
        <w:t>科技治理科学化</w:t>
      </w:r>
      <w:r>
        <w:rPr>
          <w:rFonts w:ascii="仿宋_GB2312" w:hAnsi="仿宋_GB2312" w:eastAsia="仿宋_GB2312" w:cs="仿宋_GB2312"/>
          <w:sz w:val="32"/>
          <w:szCs w:val="40"/>
        </w:rPr>
        <w:t>、精细化水平</w:t>
      </w:r>
      <w:r>
        <w:rPr>
          <w:rFonts w:hint="eastAsia" w:ascii="仿宋_GB2312" w:hAnsi="仿宋_GB2312" w:eastAsia="仿宋_GB2312" w:cs="仿宋_GB2312"/>
          <w:sz w:val="32"/>
          <w:szCs w:val="40"/>
        </w:rPr>
        <w:t>。</w:t>
      </w:r>
    </w:p>
    <w:bookmarkEnd w:id="21"/>
    <w:bookmarkEnd w:id="22"/>
    <w:p w14:paraId="4647F5CB">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16.</w:t>
      </w:r>
      <w:r>
        <w:rPr>
          <w:rFonts w:hint="eastAsia"/>
        </w:rPr>
        <w:t xml:space="preserve"> </w:t>
      </w:r>
      <w:r>
        <w:rPr>
          <w:rFonts w:hint="eastAsia" w:ascii="仿宋_GB2312" w:hAnsi="仿宋_GB2312" w:eastAsia="仿宋_GB2312" w:cs="仿宋_GB2312"/>
          <w:b/>
          <w:sz w:val="32"/>
          <w:szCs w:val="40"/>
        </w:rPr>
        <w:t>山西科技创新监测评价与治理应用研究</w:t>
      </w:r>
    </w:p>
    <w:p w14:paraId="4C3D8788">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bookmarkStart w:id="23" w:name="OLE_LINK25"/>
      <w:bookmarkStart w:id="24" w:name="OLE_LINK26"/>
      <w:r>
        <w:rPr>
          <w:rFonts w:hint="eastAsia" w:ascii="仿宋_GB2312" w:hAnsi="仿宋_GB2312" w:eastAsia="仿宋_GB2312" w:cs="仿宋_GB2312"/>
          <w:sz w:val="32"/>
          <w:szCs w:val="40"/>
        </w:rPr>
        <w:t>聚焦能源转型、产业升级与适度多元发展，采用</w:t>
      </w:r>
      <w:r>
        <w:rPr>
          <w:rFonts w:ascii="仿宋_GB2312" w:hAnsi="仿宋_GB2312" w:eastAsia="仿宋_GB2312" w:cs="仿宋_GB2312"/>
          <w:sz w:val="32"/>
          <w:szCs w:val="40"/>
        </w:rPr>
        <w:t>“</w:t>
      </w:r>
      <w:r>
        <w:rPr>
          <w:rFonts w:hint="eastAsia" w:ascii="仿宋_GB2312" w:hAnsi="仿宋_GB2312" w:eastAsia="仿宋_GB2312" w:cs="仿宋_GB2312"/>
          <w:sz w:val="32"/>
          <w:szCs w:val="40"/>
        </w:rPr>
        <w:t>实力总量+运行效力</w:t>
      </w:r>
      <w:r>
        <w:rPr>
          <w:rFonts w:ascii="仿宋_GB2312" w:hAnsi="仿宋_GB2312" w:eastAsia="仿宋_GB2312" w:cs="仿宋_GB2312"/>
          <w:sz w:val="32"/>
          <w:szCs w:val="40"/>
        </w:rPr>
        <w:t>”</w:t>
      </w:r>
      <w:r>
        <w:rPr>
          <w:rFonts w:hint="eastAsia" w:ascii="仿宋_GB2312" w:hAnsi="仿宋_GB2312" w:eastAsia="仿宋_GB2312" w:cs="仿宋_GB2312"/>
          <w:sz w:val="32"/>
          <w:szCs w:val="40"/>
        </w:rPr>
        <w:t>双</w:t>
      </w:r>
      <w:r>
        <w:rPr>
          <w:rFonts w:ascii="仿宋_GB2312" w:hAnsi="仿宋_GB2312" w:eastAsia="仿宋_GB2312" w:cs="仿宋_GB2312"/>
          <w:sz w:val="32"/>
          <w:szCs w:val="40"/>
        </w:rPr>
        <w:t>维度评价框架，</w:t>
      </w:r>
      <w:r>
        <w:rPr>
          <w:rFonts w:hint="eastAsia" w:ascii="仿宋_GB2312" w:hAnsi="仿宋_GB2312" w:eastAsia="仿宋_GB2312" w:cs="仿宋_GB2312"/>
          <w:sz w:val="32"/>
          <w:szCs w:val="40"/>
        </w:rPr>
        <w:t>研究构建科学系统、全面有效、符合山西实际的省级科技创新监测评价指标体系，涵盖科技创新投入、创新产出、创新绩效、创新环境等核心维度，并体现山西资源型经济转型特色。一是以省级科技创新监测评价指标体系为基础，针对行业、领域、区域科技创新情况进行分类监测，分类建立能源转型、新质生产力培育等差异化指标子体系，全方位多维度反映全省科技创新能力。二是研究提出数据采集渠道、频次与责任主体。深化数据挖掘与战略分析，形成年度科技创新综合评价报告、区域创新能力评价报告、重点领域和重点行业评价报告，客观研判山西科技创新能力在全国的位势变化、阶段性特征及短板瓶颈</w:t>
      </w:r>
      <w:r>
        <w:rPr>
          <w:rFonts w:ascii="仿宋_GB2312" w:hAnsi="仿宋_GB2312" w:eastAsia="仿宋_GB2312" w:cs="仿宋_GB2312"/>
          <w:sz w:val="32"/>
          <w:szCs w:val="40"/>
        </w:rPr>
        <w:t>,以及山西各区域、重点领域和重点行业的科技创新发展状况。三是探索监测评价结果赋能科技治理的实施路径，研究评价成果在科技规划调整、项目布局、资源配置中的应用机制</w:t>
      </w:r>
      <w:r>
        <w:rPr>
          <w:rFonts w:hint="eastAsia" w:ascii="仿宋_GB2312" w:hAnsi="仿宋_GB2312" w:eastAsia="仿宋_GB2312" w:cs="仿宋_GB2312"/>
          <w:sz w:val="32"/>
          <w:szCs w:val="40"/>
        </w:rPr>
        <w:t>以及在</w:t>
      </w:r>
      <w:r>
        <w:rPr>
          <w:rFonts w:ascii="仿宋_GB2312" w:hAnsi="仿宋_GB2312" w:eastAsia="仿宋_GB2312" w:cs="仿宋_GB2312"/>
          <w:sz w:val="32"/>
          <w:szCs w:val="40"/>
        </w:rPr>
        <w:t>特定领域的</w:t>
      </w:r>
      <w:r>
        <w:rPr>
          <w:rFonts w:hint="eastAsia" w:ascii="仿宋_GB2312" w:hAnsi="仿宋_GB2312" w:eastAsia="仿宋_GB2312" w:cs="仿宋_GB2312"/>
          <w:sz w:val="32"/>
          <w:szCs w:val="40"/>
        </w:rPr>
        <w:t>长周期攻关</w:t>
      </w:r>
      <w:r>
        <w:rPr>
          <w:rFonts w:ascii="仿宋_GB2312" w:hAnsi="仿宋_GB2312" w:eastAsia="仿宋_GB2312" w:cs="仿宋_GB2312"/>
          <w:sz w:val="32"/>
          <w:szCs w:val="40"/>
        </w:rPr>
        <w:t>容错机制，针对创新短板提出差异化政策方案，构建常态化监测预警与政策优化闭环。</w:t>
      </w:r>
    </w:p>
    <w:bookmarkEnd w:id="23"/>
    <w:bookmarkEnd w:id="24"/>
    <w:p w14:paraId="448E6329">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17.山西省中部城市群水安全保障与高质量发展研究</w:t>
      </w:r>
    </w:p>
    <w:p w14:paraId="792DF6EA">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紧扣黄河流域高质量发展和山西省“四水四定”战略部署，聚焦山西中部城市群水安全保障与高质量发展的“水支撑”需求，系统研判水资源禀赋、供用水格局，评估水安全风险，提出中部城市群水—城—产协调发展战略</w:t>
      </w:r>
      <w:r>
        <w:rPr>
          <w:rFonts w:ascii="仿宋_GB2312" w:hAnsi="仿宋_GB2312" w:eastAsia="仿宋_GB2312" w:cs="仿宋_GB2312"/>
          <w:sz w:val="32"/>
          <w:szCs w:val="40"/>
        </w:rPr>
        <w:t>.一是建立水—城—产适配性评价</w:t>
      </w:r>
      <w:r>
        <w:rPr>
          <w:rFonts w:ascii="仿宋_GB2312" w:eastAsia="仿宋_GB2312"/>
          <w:sz w:val="32"/>
          <w:szCs w:val="32"/>
        </w:rPr>
        <w:t>体系，结合山西现代水网建设，提出中部城市群优先产业布局与水资源协同配置方案建议。二是聚焦城市群水资源高效利用、省级水网-区域骨干水网-县域水网协同、地</w:t>
      </w:r>
      <w:r>
        <w:rPr>
          <w:rFonts w:ascii="仿宋_GB2312" w:hAnsi="仿宋_GB2312" w:eastAsia="仿宋_GB2312" w:cs="仿宋_GB2312"/>
          <w:sz w:val="32"/>
          <w:szCs w:val="40"/>
        </w:rPr>
        <w:t>下水超采治理与岩溶大泉复流、非常规水资源利用、人工智能技术应用等，提出水支撑关键技术发展路线图。三是研究县域配套水网贯通、取用水</w:t>
      </w:r>
      <w:r>
        <w:rPr>
          <w:rFonts w:hint="eastAsia" w:ascii="仿宋_GB2312" w:hAnsi="仿宋_GB2312" w:eastAsia="仿宋_GB2312" w:cs="仿宋_GB2312"/>
          <w:sz w:val="32"/>
          <w:szCs w:val="40"/>
        </w:rPr>
        <w:t>闭环监管、水权交易市场化定价等关键管理机制，提出中部城市群水安全保障与高质量发展的科技支撑建议。</w:t>
      </w:r>
    </w:p>
    <w:p w14:paraId="364756B0">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18.</w:t>
      </w:r>
      <w:r>
        <w:rPr>
          <w:rFonts w:hint="eastAsia"/>
        </w:rPr>
        <w:t xml:space="preserve"> </w:t>
      </w:r>
      <w:bookmarkStart w:id="25" w:name="OLE_LINK28"/>
      <w:bookmarkStart w:id="26" w:name="OLE_LINK27"/>
      <w:r>
        <w:rPr>
          <w:rFonts w:hint="eastAsia" w:ascii="仿宋_GB2312" w:hAnsi="仿宋_GB2312" w:eastAsia="仿宋_GB2312" w:cs="仿宋_GB2312"/>
          <w:b/>
          <w:sz w:val="32"/>
          <w:szCs w:val="40"/>
        </w:rPr>
        <w:t>山西在全国商业航天分工体系中的定位与切入路径研究</w:t>
      </w:r>
    </w:p>
    <w:bookmarkEnd w:id="25"/>
    <w:bookmarkEnd w:id="26"/>
    <w:p w14:paraId="0937353E">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紧扣“十五五”航天强国建设部署，立足山西省商业航天现状，差异化嵌入全国商业航天分工体系，聚焦发射配套、卫星遥感、北斗应用、发射设施等赛道，找准适配省情的切入路径。一是研判国家“十五五”商业航天政策导向与区域集聚格局，围绕商业发射、卫星互联网、遥感应用、安全监管等方向，明晰山西省差异化定位。二是摸排省内航天资源与技术家底，梳理太原卫星发射中心、科研力量、配套企业、应用场景及政策条件，系统评估产业化条件、算力能耗、投资经济性，论证发射配套、星箭制造、通导遥服务可行性。三是遴选特色优先赛道，重点围绕发射配套、塔架全生命周期管理、遥感与北斗行业应用，面向能源转型、矿山监测、生态治理等本土场景，形成示范项目清单。四是明确嵌入全国产业链的实施路径、重点任务与风险防控举措，配套提出要素保障政策建议。</w:t>
      </w:r>
    </w:p>
    <w:p w14:paraId="32A719AE">
      <w:pPr>
        <w:spacing w:line="579" w:lineRule="exact"/>
        <w:ind w:firstLine="643" w:firstLineChars="200"/>
        <w:rPr>
          <w:rFonts w:ascii="仿宋_GB2312" w:hAnsi="仿宋_GB2312" w:eastAsia="仿宋_GB2312" w:cs="仿宋_GB2312"/>
          <w:b/>
          <w:sz w:val="32"/>
          <w:szCs w:val="40"/>
        </w:rPr>
      </w:pPr>
      <w:r>
        <w:rPr>
          <w:rFonts w:ascii="仿宋_GB2312" w:hAnsi="仿宋_GB2312" w:eastAsia="仿宋_GB2312" w:cs="仿宋_GB2312"/>
          <w:b/>
          <w:sz w:val="32"/>
          <w:szCs w:val="40"/>
        </w:rPr>
        <w:t>19.山西</w:t>
      </w:r>
      <w:r>
        <w:rPr>
          <w:rFonts w:hint="eastAsia" w:ascii="仿宋_GB2312" w:hAnsi="仿宋_GB2312" w:eastAsia="仿宋_GB2312" w:cs="仿宋_GB2312"/>
          <w:b/>
          <w:sz w:val="32"/>
          <w:szCs w:val="40"/>
        </w:rPr>
        <w:t>算电协同</w:t>
      </w:r>
      <w:r>
        <w:rPr>
          <w:rFonts w:ascii="仿宋_GB2312" w:hAnsi="仿宋_GB2312" w:eastAsia="仿宋_GB2312" w:cs="仿宋_GB2312"/>
          <w:b/>
          <w:sz w:val="32"/>
          <w:szCs w:val="40"/>
        </w:rPr>
        <w:t>与算力产业高质量发展战略研究</w:t>
      </w:r>
    </w:p>
    <w:p w14:paraId="050C7837">
      <w:pPr>
        <w:spacing w:line="579" w:lineRule="exact"/>
        <w:ind w:firstLine="643" w:firstLineChars="200"/>
        <w:rPr>
          <w:rFonts w:ascii="仿宋_GB2312" w:hAnsi="仿宋_GB2312" w:eastAsia="仿宋_GB2312" w:cs="仿宋_GB2312"/>
          <w:sz w:val="32"/>
          <w:szCs w:val="40"/>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落实国家“十五五”构建全国一体化算力网、实施算电协同新基建部署和山西省“发展算力服务产业、打造环京津冀算力走廊”要求，推动从“输煤输电”向“输算力”转型，把能源优势转化为算力优势。一是基础评估与竞争力研究。梳理全省能源禀赋、电力保障、落地数据中心、承接京津冀算力的时延优势等基础，对标算力资源大省识别差异化空间，开展算力市场需求、能耗用水、网络时延、投资经济性综合评价，明确战略定位、愿景与目标。二是算电协同研究。诊断算电协同机制不健全、绿电渗透利用率偏低、算力布局同质化、算力服务附加值低、煤矿智能化边缘算力供给不足等堵点，深化算电协同经济性，研究绿电直连、源网荷储一体化等降低用电成本、提升绿电占比的路径，研究算力集群与电力系统动态匹配机制。三是分层布局与配套产业研究。研究按算力类型和服务场景分层的差异化算力集群布局方案，重点开展算力需求研判与算力交易技术路径攻关。研究算力交易定价、服务质量标准体系和供需撮合平台运营模式，研究算力券从补贴需求侧向激活交易侧转型的路径，提出政策工具与实施路线图。</w:t>
      </w:r>
    </w:p>
    <w:p w14:paraId="716F363E">
      <w:pPr>
        <w:spacing w:line="579" w:lineRule="exact"/>
        <w:ind w:firstLine="643" w:firstLineChars="200"/>
        <w:rPr>
          <w:rFonts w:ascii="仿宋_GB2312" w:hAnsi="仿宋_GB2312" w:eastAsia="仿宋_GB2312" w:cs="仿宋_GB2312"/>
          <w:b/>
          <w:sz w:val="32"/>
          <w:szCs w:val="40"/>
        </w:rPr>
      </w:pPr>
      <w:bookmarkStart w:id="27" w:name="OLE_LINK6"/>
      <w:bookmarkStart w:id="28" w:name="OLE_LINK9"/>
      <w:r>
        <w:rPr>
          <w:rFonts w:ascii="仿宋_GB2312" w:hAnsi="仿宋_GB2312" w:eastAsia="仿宋_GB2312" w:cs="仿宋_GB2312"/>
          <w:b/>
          <w:sz w:val="32"/>
          <w:szCs w:val="40"/>
        </w:rPr>
        <w:t>20.山西省旅游消费</w:t>
      </w:r>
      <w:r>
        <w:rPr>
          <w:rFonts w:hint="eastAsia" w:ascii="仿宋_GB2312" w:hAnsi="仿宋_GB2312" w:eastAsia="仿宋_GB2312" w:cs="仿宋_GB2312"/>
          <w:b/>
          <w:sz w:val="32"/>
          <w:szCs w:val="40"/>
        </w:rPr>
        <w:t>升级</w:t>
      </w:r>
      <w:r>
        <w:rPr>
          <w:rFonts w:ascii="仿宋_GB2312" w:hAnsi="仿宋_GB2312" w:eastAsia="仿宋_GB2312" w:cs="仿宋_GB2312"/>
          <w:b/>
          <w:sz w:val="32"/>
          <w:szCs w:val="40"/>
        </w:rPr>
        <w:t>与高质量发展战略研究</w:t>
      </w:r>
    </w:p>
    <w:p w14:paraId="2E014756">
      <w:pPr>
        <w:spacing w:line="579" w:lineRule="exact"/>
        <w:ind w:firstLine="643" w:firstLineChars="200"/>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b/>
          <w:sz w:val="32"/>
          <w:szCs w:val="40"/>
        </w:rPr>
        <w:t>研究内容：</w:t>
      </w:r>
      <w:r>
        <w:rPr>
          <w:rFonts w:hint="eastAsia" w:ascii="仿宋_GB2312" w:hAnsi="仿宋_GB2312" w:eastAsia="仿宋_GB2312" w:cs="仿宋_GB2312"/>
          <w:sz w:val="32"/>
          <w:szCs w:val="40"/>
        </w:rPr>
        <w:t>落实国家“双循环”和旅游强国建设部署，推动文旅资源优势转化为旅游消费优势。一是旅游消费诊断与战略方位研究。评估旅游消费规模、结构、停留时长与人均消费，识别研判</w:t>
      </w:r>
      <w:r>
        <w:rPr>
          <w:rFonts w:ascii="仿宋_GB2312" w:hAnsi="仿宋_GB2312" w:eastAsia="仿宋_GB2312" w:cs="仿宋_GB2312"/>
          <w:sz w:val="32"/>
          <w:szCs w:val="40"/>
        </w:rPr>
        <w:t>发展短板</w:t>
      </w:r>
      <w:r>
        <w:rPr>
          <w:rFonts w:hint="eastAsia" w:ascii="仿宋_GB2312" w:hAnsi="仿宋_GB2312" w:eastAsia="仿宋_GB2312" w:cs="仿宋_GB2312"/>
          <w:sz w:val="32"/>
          <w:szCs w:val="40"/>
        </w:rPr>
        <w:t>，明确战略定位、愿景与目标。二是消费场景创新与数字化赋能研究。立足黄河流域</w:t>
      </w:r>
      <w:r>
        <w:rPr>
          <w:rFonts w:ascii="仿宋_GB2312" w:hAnsi="仿宋_GB2312" w:eastAsia="仿宋_GB2312" w:cs="仿宋_GB2312"/>
          <w:sz w:val="32"/>
          <w:szCs w:val="40"/>
        </w:rPr>
        <w:t>、晋商、古建等</w:t>
      </w:r>
      <w:r>
        <w:rPr>
          <w:rFonts w:hint="eastAsia" w:ascii="仿宋_GB2312" w:hAnsi="仿宋_GB2312" w:eastAsia="仿宋_GB2312" w:cs="仿宋_GB2312"/>
          <w:sz w:val="32"/>
          <w:szCs w:val="40"/>
        </w:rPr>
        <w:t>三晋特色文化资源，重点布局古建研学、沉浸式演艺等差异化场景，聚焦夜间经济、演艺业态、体验经济、智慧旅游等文旅新兴消费场景，研究数字化赋能产品创新、业态升级、服务提质、营销革新等对消费场景的重塑。三是消费带动与产业融合研究。分析旅游消费对农业、工业、康养、商贸等关联产业的乘数带动，提炼“旅游消费×优势产业”双向赋能典型模式与路径，提出相关政策建议。</w:t>
      </w:r>
      <w:bookmarkEnd w:id="27"/>
      <w:bookmarkEnd w:id="28"/>
      <w:bookmarkStart w:id="29" w:name="_GoBack"/>
      <w:bookmarkEnd w:id="29"/>
      <w:r>
        <w:rPr>
          <w:rFonts w:hint="default" w:ascii="仿宋_GB2312" w:hAnsi="仿宋_GB2312" w:eastAsia="仿宋_GB2312" w:cs="仿宋_GB2312"/>
          <w:b w:val="0"/>
          <w:bCs w:val="0"/>
          <w:color w:val="000000" w:themeColor="text1"/>
          <w:sz w:val="32"/>
          <w:szCs w:val="32"/>
          <w:lang w:val="en-US"/>
          <w14:textFill>
            <w14:solidFill>
              <w14:schemeClr w14:val="tx1"/>
            </w14:solidFill>
          </w14:textFill>
        </w:rPr>
        <w:t xml:space="preserve">  </w:t>
      </w:r>
    </w:p>
    <w:sectPr>
      <w:footerReference r:id="rId3"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D88D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911BD">
                          <w:pPr>
                            <w:pStyle w:val="5"/>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E8911BD">
                    <w:pPr>
                      <w:pStyle w:val="5"/>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8E257"/>
    <w:multiLevelType w:val="singleLevel"/>
    <w:tmpl w:val="EF48E25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753D4"/>
    <w:rsid w:val="01015874"/>
    <w:rsid w:val="02711A7D"/>
    <w:rsid w:val="08A00EAE"/>
    <w:rsid w:val="0BBD6784"/>
    <w:rsid w:val="0CC64D9D"/>
    <w:rsid w:val="0F4D7D79"/>
    <w:rsid w:val="10632B96"/>
    <w:rsid w:val="14C15BCE"/>
    <w:rsid w:val="15483620"/>
    <w:rsid w:val="1A20153A"/>
    <w:rsid w:val="1E384E6E"/>
    <w:rsid w:val="200270DB"/>
    <w:rsid w:val="237E28F6"/>
    <w:rsid w:val="24C63129"/>
    <w:rsid w:val="2811167B"/>
    <w:rsid w:val="287E17DA"/>
    <w:rsid w:val="293D4023"/>
    <w:rsid w:val="2A771025"/>
    <w:rsid w:val="2AF25836"/>
    <w:rsid w:val="2BEA202E"/>
    <w:rsid w:val="2FB367C7"/>
    <w:rsid w:val="33974C5D"/>
    <w:rsid w:val="355D65A9"/>
    <w:rsid w:val="3ABE6911"/>
    <w:rsid w:val="3B1117BD"/>
    <w:rsid w:val="4302737B"/>
    <w:rsid w:val="435E74B4"/>
    <w:rsid w:val="467C1709"/>
    <w:rsid w:val="48903C81"/>
    <w:rsid w:val="4AC03C1E"/>
    <w:rsid w:val="4DDE5B75"/>
    <w:rsid w:val="51F443EB"/>
    <w:rsid w:val="53B10554"/>
    <w:rsid w:val="56FB2832"/>
    <w:rsid w:val="5787506A"/>
    <w:rsid w:val="58296D0D"/>
    <w:rsid w:val="5959026B"/>
    <w:rsid w:val="5A6C1289"/>
    <w:rsid w:val="5AE21285"/>
    <w:rsid w:val="5B421459"/>
    <w:rsid w:val="5E177D5B"/>
    <w:rsid w:val="5FEF0842"/>
    <w:rsid w:val="61A91D28"/>
    <w:rsid w:val="69472B88"/>
    <w:rsid w:val="6A755F31"/>
    <w:rsid w:val="6BFF7B2B"/>
    <w:rsid w:val="6D2E6368"/>
    <w:rsid w:val="6FCAD679"/>
    <w:rsid w:val="73FF542A"/>
    <w:rsid w:val="75C73467"/>
    <w:rsid w:val="777B44A4"/>
    <w:rsid w:val="78BC69A6"/>
    <w:rsid w:val="793D7FF4"/>
    <w:rsid w:val="7FF37C6C"/>
    <w:rsid w:val="BACB4863"/>
    <w:rsid w:val="BFFF907A"/>
    <w:rsid w:val="ECB3B997"/>
    <w:rsid w:val="FE6FA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11006</Words>
  <Characters>11176</Characters>
  <Lines>0</Lines>
  <Paragraphs>0</Paragraphs>
  <TotalTime>30</TotalTime>
  <ScaleCrop>false</ScaleCrop>
  <LinksUpToDate>false</LinksUpToDate>
  <CharactersWithSpaces>11188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2026-10-26T23:23:00Z</dcterms:created>
  <dc:creator>admin</dc:creator>
  <cp:lastModifiedBy>吕盛槐</cp:lastModifiedBy>
  <cp:lastPrinted>2026-11-03T07:25:00Z</cp:lastPrinted>
  <dcterms:modified xsi:type="dcterms:W3CDTF">2026-11-02T11:24:14Z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A0F19B4BA6191F8BDA6AE86A63E02D3D</vt:lpwstr>
  </property>
  <property fmtid="{D5CDD505-2E9C-101B-9397-08002B2CF9AE}" pid="4" name="KSOTemplateDocerSaveRecord">
    <vt:lpwstr>eyJoZGlkIjoiYWI1ZDcwNDFiZjJmYzE5ZjQyNDFjYTllNzhkYTQ0NzIiLCJ1c2VySWQiOiIxNzE4NTczMzUwIn0=</vt:lpwstr>
  </property>
</Properties>
</file>